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stringed musical instruments. This is 
for the purpose of improving the sound and violin use.
 A violin pad (1) consists of a spheroidical springy steel plate (2).
The configuration of its lower edge (3) is identical to the edge configuration oflower violin deck. The concave part of the plate and the   lower edge (3) a wrapped in  leather (4) covered by glue. The convex part is wrapped in elastic cloth or rubber or leather (5) covered by glue. The shortest distance between the lower deck of violin and the highest point of the plate over the deck is 20-25 mm. The violin pad (1) is fixed to the violin by three buttonhole holders of elastic or rubber band (6),(7). The holders (6) are fixed at the corners of the plate. The holder (7) is fixed at the upper part of the plate by upper edge of bow contour.The pad touches the lower deck of the violin with the lower edge so it does not muffle the sound.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