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mašinų pramonės srities. Dvitaktį vidaus degimo variklį tinka naudoti automašinose, motocikluose, mopeduose, motorinėse valtyse, medžio pjovimo pjūkluose, žolės pjovimo mašinose ir ten, kur nereikia didelės traukos jėgos. Išradimo tikslas - pagerinti dvitakčio variklio ekonomiškumą, padidinant degiojo mišinio sluoksniavimosi laipsnį. Dvitaktis vidaus degimo variklis turi cilindrąsu jame patalpintu stūmokliu ir alkūninį-švaistiklinį mechanizmą, degiojo mišinio ir oro padavimo kanalus ir praleidimo kanalus. Nauja variklyje yra tai, kad praleidimo kanalai (14, 15) sujungti papildomais kanalais (20, 21) su degiojo mišinio (22) ir oro padavimo (23) kanalais, o dujų paskirstymo mechanizmas patalpintas degiojo mišinio, oro ir papildomų kanalų sujungimo vietoje. Nauja yra taip pat tai, kad pirmoje įleidimo fazėje degusis mišinys patenka į apatinę karterio ertmės dalį, o antroje įleidimo fazėje dalis oro patenka į karterio ertmės apatinę, o kita dalis į karterio ertmės viršutinę dalį ir praleidimo kanalus.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