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engines manufacturing and can be used in various technical fields. It is special in using constructions types which increases power and the use of ecological fuel and air mass mixture, reduces weight and emission of the pollutants into the environment and prolonged working duration. This is achieved by the rotor engine with corps (2) separated by partition with walls (1)  and fuel distribution overlapping passageway (16), windows (15) and shaft (4), with attached two disc flywheels (5) in which on one end of the gradually rising side angle cuts and planes in chess set  in the entire perimeter are made the opposite angle screw cut-outs (6), which in contact with the piston (7) cuts rebound spirals (9) and closed slider (20) with axial displacement, is thermal change  initial spark plug (17) rotary moment shock compression radial force `group` chambers (10, 11) and combustion chambers (12, 13), and volume change contact has an overlapping open holes formed in passageway (16) of the corps (2) into product bandwidth system, which sealing is carried out in spiral rings (18) and release windows (14) – the intake shutter, in addition flywheels has dual ball bearing shield (3) and thermal change freezer different level brims (19) and pistons (7) are set parallel in cuts of the back wall, have with the side hole (8) of the combustion chamber (12) the cuts and are turned on into fuel system by channel (15).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