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devices, which acquire visual and other types of information of surroundings, including the depth-map information and converts it to other forms of information, which can be  accepted by a visually impaired person. A tactile pad (1) comprises plurality of individually controlled airflow generators (2), such as fans or turbines, which create directional airflow (6), thus inducing pressure on the skin of a person. The invention can be used both by visually impaired persons or people, who prefer using the sense of touch instead of vision. It can also be used for@remote sensing products, faces, etc.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