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E4AB" w14:textId="5495CB8A"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w:t>
      </w:r>
      <w:r w:rsidR="003165CE" w:rsidRPr="003165CE">
        <w:rPr>
          <w:rFonts w:ascii="Helvetica" w:hAnsi="Helvetica"/>
          <w:sz w:val="20"/>
          <w:lang w:val="lt-LT"/>
        </w:rPr>
        <w:t xml:space="preserve"> </w:t>
      </w:r>
      <w:r w:rsidRPr="003165CE">
        <w:rPr>
          <w:rFonts w:ascii="Helvetica" w:hAnsi="Helvetica"/>
          <w:sz w:val="20"/>
          <w:lang w:val="lt-LT"/>
        </w:rPr>
        <w:t>Nuo piktnaudžiavimo apsaugota peroralinė dozavimo forma su kontroliuojamu opioido atpalaidavimu, skirtą naudoti skausmo malšinimui mažiausiai 24 val. laikotarpiu,</w:t>
      </w:r>
      <w:r w:rsidR="003165CE" w:rsidRPr="003165CE">
        <w:rPr>
          <w:rFonts w:ascii="Helvetica" w:hAnsi="Helvetica"/>
          <w:sz w:val="20"/>
          <w:lang w:val="lt-LT"/>
        </w:rPr>
        <w:t xml:space="preserve">  b e s i s k i r i a n t i  </w:t>
      </w:r>
      <w:r w:rsidRPr="003165CE">
        <w:rPr>
          <w:rFonts w:ascii="Helvetica" w:hAnsi="Helvetica"/>
          <w:sz w:val="20"/>
          <w:lang w:val="lt-LT"/>
        </w:rPr>
        <w:t xml:space="preserve">tuo, kad ji yra tabletės formos, apima bent vieną opioidą (A), pasižymintį piktnaudžiavimo tikimybe, ir </w:t>
      </w:r>
      <w:r w:rsidR="003165CE" w:rsidRPr="003165CE">
        <w:rPr>
          <w:rFonts w:ascii="Helvetica" w:hAnsi="Helvetica"/>
          <w:sz w:val="20"/>
          <w:lang w:val="lt-LT"/>
        </w:rPr>
        <w:t>(</w:t>
      </w:r>
      <w:r w:rsidRPr="003165CE">
        <w:rPr>
          <w:rFonts w:ascii="Helvetica" w:hAnsi="Helvetica"/>
          <w:sz w:val="20"/>
          <w:lang w:val="lt-LT"/>
        </w:rPr>
        <w:t>arba</w:t>
      </w:r>
      <w:r w:rsidR="003165CE" w:rsidRPr="003165CE">
        <w:rPr>
          <w:rFonts w:ascii="Helvetica" w:hAnsi="Helvetica"/>
          <w:sz w:val="20"/>
          <w:lang w:val="lt-LT"/>
        </w:rPr>
        <w:t>)</w:t>
      </w:r>
      <w:r w:rsidRPr="003165CE">
        <w:rPr>
          <w:rFonts w:ascii="Helvetica" w:hAnsi="Helvetica"/>
          <w:sz w:val="20"/>
          <w:lang w:val="lt-LT"/>
        </w:rPr>
        <w:t xml:space="preserve"> vieną iš jo fiziologiniu požiūriu priimtinų junginių; bent vieną sintetinį </w:t>
      </w:r>
      <w:r w:rsidR="003165CE" w:rsidRPr="003165CE">
        <w:rPr>
          <w:rFonts w:ascii="Helvetica" w:hAnsi="Helvetica"/>
          <w:sz w:val="20"/>
          <w:lang w:val="lt-LT"/>
        </w:rPr>
        <w:t>ir (arba)</w:t>
      </w:r>
      <w:r w:rsidRPr="003165CE">
        <w:rPr>
          <w:rFonts w:ascii="Helvetica" w:hAnsi="Helvetica"/>
          <w:sz w:val="20"/>
          <w:lang w:val="lt-LT"/>
        </w:rPr>
        <w:t xml:space="preserve"> gamtinį polimerą (C); nebūtinai bent vieną uždelsto atpalaidavimo matricos medžiagą; nebūtinai bent vieną uždelsto atpalaidavimo dangą; nebūtinai bent vieną fiziologiniu požiūriu priimtiną pagalbinę medžiagą (B) ir nebūtinai bent vieną vašką (D), kur kiekvienas komponentas (C) arba (D) pasižymi trūkimo stipriu mažiausiai 500 N, komponentas(-ai) (C) ir nebūtinai (D) yra tokiais kiekiais, kad dozavimo forma pasižymi trūkimo stipriu mažiausiai 500 N, ir kur vartojimas skiriamas kartą per dieną,</w:t>
      </w:r>
    </w:p>
    <w:p w14:paraId="689768C8" w14:textId="0339E838" w:rsidR="00273BFF"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 xml:space="preserve">ir kur (C) arba (D) komponento trūkimo stipris nustatomas tokiu būdu: medžiaga yra formuojama į 10 mm skersmens ir 5 mm aukščio tabletę, presuojant 150 N jėga, temperatūroje, kuri atitinka mažiausiai minkštėjimo tašką, nustatomą pagal medžiagos DSC diagramą; šiuo būdu pagamintos tabletės testuojamos, nustatant tablečių trūkimo stiprį, kaip skelbta Europos farmakopėjoje, 1997, psl. 143, 44, būdas Nr. 2.9.8, naudojant toliau išvardytą įrangą: Zwick medžiagų testavimo mašiną „Zwick Z 2.5“; medžiagų testavimo mašiną Fmax 2,5 kN su didžiausia skersine eiga 1150 mm, kuri yra montuojama, naudojant koloną ir veleną, su užpakaline laisva darbo erdve 100 mm, bei taikant bandymo greitį, reguliuojamą nuo 0,1 iki 800 mm/min, naudojant šią programinę įrangą: testControl kaip matavimo įrangą; spaudimo štampą su įsukamais </w:t>
      </w:r>
      <w:r w:rsidR="00DA76CF" w:rsidRPr="003165CE">
        <w:rPr>
          <w:rFonts w:ascii="Helvetica" w:hAnsi="Helvetica"/>
          <w:sz w:val="20"/>
          <w:lang w:val="lt-LT"/>
        </w:rPr>
        <w:t>įdėklais</w:t>
      </w:r>
      <w:r w:rsidRPr="003165CE">
        <w:rPr>
          <w:rFonts w:ascii="Helvetica" w:hAnsi="Helvetica"/>
          <w:sz w:val="20"/>
          <w:lang w:val="lt-LT"/>
        </w:rPr>
        <w:t xml:space="preserve"> ir 10 mm skersmens cilindru, jėgos keitikliu, Fmax. 1 kN, 8 mm skersmens, klasė 0,5 nuo 10 N, klasė 1 nuo 2 N pagal ISO 7500-1 standartą, su gamintojo bandymų sertifikatu M pagal DIN 55350-18, matavimams naudojant Zwick bendrąją jėgą Fmax 1,45 kN.</w:t>
      </w:r>
    </w:p>
    <w:p w14:paraId="5F8E6BBB" w14:textId="77777777" w:rsidR="003165CE" w:rsidRPr="003165CE" w:rsidRDefault="003165CE" w:rsidP="003165CE">
      <w:pPr>
        <w:suppressAutoHyphens w:val="0"/>
        <w:spacing w:line="360" w:lineRule="auto"/>
        <w:jc w:val="both"/>
        <w:rPr>
          <w:rFonts w:ascii="Helvetica" w:hAnsi="Helvetica"/>
          <w:sz w:val="20"/>
          <w:lang w:val="lt-LT"/>
        </w:rPr>
      </w:pPr>
    </w:p>
    <w:p w14:paraId="139BB9BE" w14:textId="68F36CF3"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w:t>
      </w:r>
      <w:r w:rsidR="003165CE" w:rsidRPr="003165CE">
        <w:rPr>
          <w:rFonts w:ascii="Helvetica" w:hAnsi="Helvetica"/>
          <w:sz w:val="20"/>
          <w:lang w:val="lt-LT"/>
        </w:rPr>
        <w:t xml:space="preserve"> </w:t>
      </w:r>
      <w:r w:rsidRPr="003165CE">
        <w:rPr>
          <w:rFonts w:ascii="Helvetica" w:hAnsi="Helvetica"/>
          <w:sz w:val="20"/>
          <w:lang w:val="lt-LT"/>
        </w:rPr>
        <w:t>Dozavimo forma, skirta naudoti pagal 1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opioidas yra bent vienas opioidas, pasirinktas iš grupės, apimančios oksikodoną, hidromorfoną, morfiną, oksimorfoną, tramadolą, jų stereoizomerus, jų racematus, jų enantiomerus, jų diastereomerus bet kokiais mišiniais, jų fiziologiniu požiūriu priimtinus junginius, optimaliai, fiziologiniu požiūriu priimtinas druskas, geriausiai hidrochloridus ir solvatus, bei jų darinius, optimaliai esterius, eterius arba amidus.</w:t>
      </w:r>
    </w:p>
    <w:p w14:paraId="0EC5AE61"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583175E1" w14:textId="02575D9F"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3. Dozavimo forma, skirta naudoti pagal 1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opioidas yra bent vienas opioidas, pasirinktas iš grupės, apimančios (2R,3R)-1-dimetilamino-3-(3-metoksifenil)-2-metil-pentan-3-olį, (1RS,3RS,6RS)-6-dimetilaminometil-1-(3-metoksifenil)-cikloheksan-1,3-diolį, (1R,2R)-3-(2-dimetilaminometil-cikloheksil)fenolį, jų fiziologiniu požiūriu priimtinas druskas, optimaliai hidrochloridus, jų fiziologiniu požiūriu priimtinus enantiomerus, stereoizomerus, diastereomerus ir racematus bei fiziologiniu požiūriu priimtinus jų darinius, optimaliai eterius, esterius arba amidus.</w:t>
      </w:r>
    </w:p>
    <w:p w14:paraId="5BB7A71E"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C8419FE" w14:textId="1AB79C15"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4. Dozavimo forma, skirta naudoti pagal bet kurį vieną iš 1-3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(C) polimeras</w:t>
      </w:r>
      <w:r w:rsidR="003165CE" w:rsidRPr="003165CE">
        <w:rPr>
          <w:rFonts w:ascii="Helvetica" w:hAnsi="Helvetica"/>
          <w:sz w:val="20"/>
          <w:lang w:val="lt-LT"/>
        </w:rPr>
        <w:t xml:space="preserve"> </w:t>
      </w:r>
      <w:r w:rsidRPr="003165CE">
        <w:rPr>
          <w:rFonts w:ascii="Helvetica" w:hAnsi="Helvetica"/>
          <w:sz w:val="20"/>
          <w:lang w:val="lt-LT"/>
        </w:rPr>
        <w:t>yra bent vienas polimeras, pasirinktas iš grupės, apimančios polialkileno oksidus, polietilenus, polipropilenus, polivinilo chloridus, polikarbonatus, polistirenus, poli(met)akrilatus, jų kopolimerus ir nurodytų polimerų klasių arba polimerų bent dviejų tipinių junginių mišinius.</w:t>
      </w:r>
    </w:p>
    <w:p w14:paraId="36C0F2CC"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2E61CA2" w14:textId="36BFEA16"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5. Dozavimo forma, skirta naudoti pagal 4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polialkileno oksidas yra polimetileno oksidas, polietileno oksidas arba polipropileno oksidas.</w:t>
      </w:r>
    </w:p>
    <w:p w14:paraId="696BA3AC"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00E55A55" w14:textId="14279406"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6. Dozavimo forma, skirta naudoti pagal bet kurį vieną iš 1-5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(C) polimeras yra aukštos molekulinės masės polietileno oksidas.</w:t>
      </w:r>
    </w:p>
    <w:p w14:paraId="110876CE"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9C71C82" w14:textId="6E1AA58F"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7. Dozavimo forma, skirta naudoti pagal bet kurį vieną iš 1-6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(C) polimeras yra vandenyje tirpus arba vandenyje išbrinkstantis polimeras.</w:t>
      </w:r>
    </w:p>
    <w:p w14:paraId="1CB163D6"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669D98D1" w14:textId="4A83057D"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8. Dozavimo forma, skirta naudoti pagal bet kurį vieną iš 1-7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polietileno oksido (C) molekulinė masė yra mažiausiai 0,5 milijono.</w:t>
      </w:r>
    </w:p>
    <w:p w14:paraId="7DA91756"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46FC7D64" w14:textId="19D372BB"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9. Dozavimo forma, skirta naudoti pagal 8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polietileno oksido (C) molekulinė masė yra 1-15 milijonų.</w:t>
      </w:r>
    </w:p>
    <w:p w14:paraId="714F0BAE"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5F633BA5" w14:textId="7507DF41"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10. Dozavimo forma, skirta naudoti pagal bet kurį vieną iš 1-9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kaip (D) vašką</w:t>
      </w:r>
      <w:r w:rsidR="003165CE" w:rsidRPr="003165CE">
        <w:rPr>
          <w:rFonts w:ascii="Helvetica" w:hAnsi="Helvetica"/>
          <w:sz w:val="20"/>
          <w:lang w:val="lt-LT"/>
        </w:rPr>
        <w:t xml:space="preserve"> </w:t>
      </w:r>
      <w:r w:rsidRPr="003165CE">
        <w:rPr>
          <w:rFonts w:ascii="Helvetica" w:hAnsi="Helvetica"/>
          <w:sz w:val="20"/>
          <w:lang w:val="lt-LT"/>
        </w:rPr>
        <w:t>ji turi mažiausiai vieną gamtinį, pusiau sintetinį arba sintetinį vašką, kurio minkštėjimo taškas yra mažiausiai 60°C.</w:t>
      </w:r>
    </w:p>
    <w:p w14:paraId="498EFE04"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CF40C5E" w14:textId="62AD6D5E"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11. Dozavimo forma, skirta naudoti</w:t>
      </w:r>
      <w:r w:rsidR="003165CE" w:rsidRPr="003165CE">
        <w:rPr>
          <w:rFonts w:ascii="Helvetica" w:hAnsi="Helvetica"/>
          <w:sz w:val="20"/>
          <w:lang w:val="lt-LT"/>
        </w:rPr>
        <w:t xml:space="preserve"> </w:t>
      </w:r>
      <w:r w:rsidRPr="003165CE">
        <w:rPr>
          <w:rFonts w:ascii="Helvetica" w:hAnsi="Helvetica"/>
          <w:sz w:val="20"/>
          <w:lang w:val="lt-LT"/>
        </w:rPr>
        <w:t>pagal 10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(D) vaškas yra karnaubo vaškas arba bičių vaškas.</w:t>
      </w:r>
    </w:p>
    <w:p w14:paraId="40F2853D"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398B73C6" w14:textId="4E0A1630"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12. Dozavimo forma, skirta naudoti pagal bet kurį vieną iš 1-11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esantis opioidas yra uždelsto atpalaidavimo matricoje.</w:t>
      </w:r>
    </w:p>
    <w:p w14:paraId="7AF7C911"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35E55610" w14:textId="0ECB87B7"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13. Dozavimo forma, skirta naudoti pagal 12 punktą,</w:t>
      </w:r>
      <w:r w:rsidR="003165CE" w:rsidRPr="003165CE">
        <w:rPr>
          <w:rFonts w:ascii="Helvetica" w:hAnsi="Helvetica"/>
          <w:sz w:val="20"/>
          <w:lang w:val="lt-LT"/>
        </w:rPr>
        <w:t xml:space="preserve">  b e s i s k i r i a n t i  </w:t>
      </w:r>
      <w:r w:rsidRPr="003165CE">
        <w:rPr>
          <w:rFonts w:ascii="Helvetica" w:hAnsi="Helvetica"/>
          <w:sz w:val="20"/>
          <w:lang w:val="lt-LT"/>
        </w:rPr>
        <w:t xml:space="preserve">tuo, kad (C) komponentas </w:t>
      </w:r>
      <w:r w:rsidR="003165CE" w:rsidRPr="003165CE">
        <w:rPr>
          <w:rFonts w:ascii="Helvetica" w:hAnsi="Helvetica"/>
          <w:sz w:val="20"/>
          <w:lang w:val="lt-LT"/>
        </w:rPr>
        <w:t>ir (arba)</w:t>
      </w:r>
      <w:r w:rsidRPr="003165CE">
        <w:rPr>
          <w:rFonts w:ascii="Helvetica" w:hAnsi="Helvetica"/>
          <w:sz w:val="20"/>
          <w:lang w:val="lt-LT"/>
        </w:rPr>
        <w:t xml:space="preserve"> (D) komponentas taip pat yra atliekantys uždelsto atpalaidavimo matricos komponento funkciją.</w:t>
      </w:r>
    </w:p>
    <w:p w14:paraId="2F6A1FC8"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3A236334" w14:textId="09382F43"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14. Dozavimo forma, skirta naudoti pagal bet kurį vieną iš 1-13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bent viena (B) pagalbinė medžiaga veikia kaip uždelsto atpalaidavimo matricos medžiaga.</w:t>
      </w:r>
    </w:p>
    <w:p w14:paraId="08B09F14"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AA18EFD" w14:textId="1C88E560"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15. Dozavimo forma, skirta naudoti pagal bet kurį vieną iš 1-14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ji turi dangą, optimaliai, uždelsto atpalaidavimo dangą.</w:t>
      </w:r>
    </w:p>
    <w:p w14:paraId="20698864"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23AE2048" w14:textId="3B397ABE" w:rsidR="003165CE"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16. Dozavimo forma, skirta naudoti pagal bet kurį vieną iš 1-15 punktų,</w:t>
      </w:r>
      <w:r w:rsidR="003165CE" w:rsidRPr="003165CE">
        <w:rPr>
          <w:rFonts w:ascii="Helvetica" w:hAnsi="Helvetica"/>
          <w:sz w:val="20"/>
          <w:lang w:val="lt-LT"/>
        </w:rPr>
        <w:t xml:space="preserve"> </w:t>
      </w:r>
      <w:r w:rsidRPr="003165CE">
        <w:rPr>
          <w:rFonts w:ascii="Helvetica" w:hAnsi="Helvetica"/>
          <w:sz w:val="20"/>
          <w:lang w:val="lt-LT"/>
        </w:rPr>
        <w:t>b e s i s k i r i a n t i tuo, kad kaip (B) papildomą medžiagą ji turi mažiausiai vieną iš tokių papildomų nuo piktnaudžiavimo apsaugančių (a)-(f) komponentų:</w:t>
      </w:r>
    </w:p>
    <w:p w14:paraId="64D130A3" w14:textId="77777777" w:rsidR="003165CE"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 xml:space="preserve">(a) mažiausiai vieną medžiagą, kuri dirgina nosies ertmes </w:t>
      </w:r>
      <w:r w:rsidR="003165CE" w:rsidRPr="003165CE">
        <w:rPr>
          <w:rFonts w:ascii="Helvetica" w:hAnsi="Helvetica"/>
          <w:sz w:val="20"/>
          <w:lang w:val="lt-LT"/>
        </w:rPr>
        <w:t>ir (arba)</w:t>
      </w:r>
      <w:r w:rsidRPr="003165CE">
        <w:rPr>
          <w:rFonts w:ascii="Helvetica" w:hAnsi="Helvetica"/>
          <w:sz w:val="20"/>
          <w:lang w:val="lt-LT"/>
        </w:rPr>
        <w:t xml:space="preserve"> ryklę,</w:t>
      </w:r>
    </w:p>
    <w:p w14:paraId="6B05CC68" w14:textId="77777777" w:rsidR="003165CE"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(b) mažiausiai vieną klampumą didinantį agentą, kuris, esant būtinam minimaliam vandeningo skysčio kiekiui, optimaliai ekstrakto, gauto iš dozavimo formos, sudaro gelį, kuris optimaliai išlieka vizualiai atskiriamas, kai įvedamas į papildomą vandeningo skysčio kiekį,</w:t>
      </w:r>
    </w:p>
    <w:p w14:paraId="357A26B1" w14:textId="77777777" w:rsidR="003165CE"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(c) veikliojo ingrediento, pasižyminčio tikimybe piktnaudžiauti, mažiausiai vieną antagonistą,</w:t>
      </w:r>
    </w:p>
    <w:p w14:paraId="54905885" w14:textId="77777777" w:rsidR="003165CE"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 xml:space="preserve">(d) mažiausiai vieną emetiką, </w:t>
      </w:r>
    </w:p>
    <w:p w14:paraId="2485731F" w14:textId="2A2B2753" w:rsidR="00273BFF"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(e) mažiausiai vieną dažą kaip bjaurėjimosi reakciją sukeliantį agentą,</w:t>
      </w:r>
    </w:p>
    <w:p w14:paraId="2E9E3DB6" w14:textId="4FBC22E8" w:rsidR="00273BFF" w:rsidRPr="003165CE" w:rsidRDefault="000115B9" w:rsidP="003165CE">
      <w:pPr>
        <w:suppressAutoHyphens w:val="0"/>
        <w:spacing w:line="360" w:lineRule="auto"/>
        <w:jc w:val="both"/>
        <w:rPr>
          <w:rFonts w:ascii="Helvetica" w:hAnsi="Helvetica"/>
          <w:sz w:val="20"/>
          <w:lang w:val="lt-LT"/>
        </w:rPr>
      </w:pPr>
      <w:r w:rsidRPr="003165CE">
        <w:rPr>
          <w:rFonts w:ascii="Helvetica" w:hAnsi="Helvetica"/>
          <w:sz w:val="20"/>
          <w:lang w:val="lt-LT"/>
        </w:rPr>
        <w:t>(f) mažiausiai vieną karčią medžiagą.</w:t>
      </w:r>
    </w:p>
    <w:p w14:paraId="7F93EFE0" w14:textId="77777777" w:rsidR="003165CE" w:rsidRPr="003165CE" w:rsidRDefault="003165CE" w:rsidP="003165CE">
      <w:pPr>
        <w:suppressAutoHyphens w:val="0"/>
        <w:spacing w:line="360" w:lineRule="auto"/>
        <w:jc w:val="both"/>
        <w:rPr>
          <w:rFonts w:ascii="Helvetica" w:hAnsi="Helvetica"/>
          <w:sz w:val="20"/>
          <w:lang w:val="lt-LT"/>
        </w:rPr>
      </w:pPr>
    </w:p>
    <w:p w14:paraId="07B2339B" w14:textId="4DBF0DFC"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17. Dozavimo forma, skirta naudoti pagal 16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(a) komponento</w:t>
      </w:r>
      <w:r w:rsidR="003165CE" w:rsidRPr="003165CE">
        <w:rPr>
          <w:rFonts w:ascii="Helvetica" w:hAnsi="Helvetica"/>
          <w:sz w:val="20"/>
          <w:lang w:val="lt-LT"/>
        </w:rPr>
        <w:t xml:space="preserve"> </w:t>
      </w:r>
      <w:r w:rsidRPr="003165CE">
        <w:rPr>
          <w:rFonts w:ascii="Helvetica" w:hAnsi="Helvetica"/>
          <w:sz w:val="20"/>
          <w:lang w:val="lt-LT"/>
        </w:rPr>
        <w:t>dirgiklis yra sukeliantis deginimą, niežulį, norą čiaudėti, padidintą sekrecijų formavimąsi arba bent dviejų šių stimulų derinį.</w:t>
      </w:r>
    </w:p>
    <w:p w14:paraId="1710C03E"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5A727588" w14:textId="4D7A8233"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18.</w:t>
      </w:r>
      <w:r w:rsidR="003165CE" w:rsidRPr="003165CE">
        <w:rPr>
          <w:rFonts w:ascii="Helvetica" w:hAnsi="Helvetica"/>
          <w:sz w:val="20"/>
          <w:lang w:val="lt-LT"/>
        </w:rPr>
        <w:t xml:space="preserve"> </w:t>
      </w:r>
      <w:r w:rsidRPr="003165CE">
        <w:rPr>
          <w:rFonts w:ascii="Helvetica" w:hAnsi="Helvetica"/>
          <w:sz w:val="20"/>
          <w:lang w:val="lt-LT"/>
        </w:rPr>
        <w:t>Dozavimo forma, skirta naudoti pagal 16 arba 17 punktą,</w:t>
      </w:r>
      <w:r w:rsidR="003165CE" w:rsidRPr="003165CE">
        <w:rPr>
          <w:rFonts w:ascii="Helvetica" w:hAnsi="Helvetica"/>
          <w:sz w:val="20"/>
          <w:lang w:val="lt-LT"/>
        </w:rPr>
        <w:t xml:space="preserve">  b e s i s k i r i a n t i  </w:t>
      </w:r>
      <w:r w:rsidRPr="003165CE">
        <w:rPr>
          <w:rFonts w:ascii="Helvetica" w:hAnsi="Helvetica"/>
          <w:sz w:val="20"/>
          <w:lang w:val="lt-LT"/>
        </w:rPr>
        <w:t xml:space="preserve">tuo, kad (a) komponento dirgiklis yra suformuotas bent vienos aštraus skonio medžiagos vaisto vienos arba kelių sudedamųjų dalių pagrindu. </w:t>
      </w:r>
    </w:p>
    <w:p w14:paraId="7339CE6A"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413D365" w14:textId="449B1B17"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19.</w:t>
      </w:r>
      <w:r w:rsidR="003165CE" w:rsidRPr="003165CE">
        <w:rPr>
          <w:rFonts w:ascii="Helvetica" w:hAnsi="Helvetica"/>
          <w:sz w:val="20"/>
          <w:lang w:val="lt-LT"/>
        </w:rPr>
        <w:t xml:space="preserve"> </w:t>
      </w:r>
      <w:r w:rsidRPr="003165CE">
        <w:rPr>
          <w:rFonts w:ascii="Helvetica" w:hAnsi="Helvetica"/>
          <w:sz w:val="20"/>
          <w:lang w:val="lt-LT"/>
        </w:rPr>
        <w:t>Dozavimo forma, skirta naudoti pagal 18 punktą,</w:t>
      </w:r>
      <w:r w:rsidR="003165CE" w:rsidRPr="003165CE">
        <w:rPr>
          <w:rFonts w:ascii="Helvetica" w:hAnsi="Helvetica"/>
          <w:sz w:val="20"/>
          <w:lang w:val="lt-LT"/>
        </w:rPr>
        <w:t xml:space="preserve">  b e s i s k i r i a n t i  </w:t>
      </w:r>
      <w:r w:rsidRPr="003165CE">
        <w:rPr>
          <w:rFonts w:ascii="Helvetica" w:hAnsi="Helvetica"/>
          <w:sz w:val="20"/>
          <w:lang w:val="lt-LT"/>
        </w:rPr>
        <w:t xml:space="preserve">tuo, kad aštraus skonio medžiagos vaistas yra bent vienas vaistas, pasirinktas iš grupės, apimančios </w:t>
      </w:r>
      <w:r w:rsidRPr="003165CE">
        <w:rPr>
          <w:rFonts w:ascii="Helvetica" w:hAnsi="Helvetica"/>
          <w:i/>
          <w:sz w:val="20"/>
          <w:lang w:val="lt-LT"/>
        </w:rPr>
        <w:t>Allii sativi bulbus</w:t>
      </w:r>
      <w:r w:rsidRPr="003165CE">
        <w:rPr>
          <w:rFonts w:ascii="Helvetica" w:hAnsi="Helvetica"/>
          <w:sz w:val="20"/>
          <w:lang w:val="lt-LT"/>
        </w:rPr>
        <w:t xml:space="preserve">, </w:t>
      </w:r>
      <w:r w:rsidRPr="003165CE">
        <w:rPr>
          <w:rFonts w:ascii="Helvetica" w:hAnsi="Helvetica"/>
          <w:i/>
          <w:sz w:val="20"/>
          <w:lang w:val="lt-LT"/>
        </w:rPr>
        <w:t>Asari rhizoma c. herba</w:t>
      </w:r>
      <w:r w:rsidRPr="003165CE">
        <w:rPr>
          <w:rFonts w:ascii="Helvetica" w:hAnsi="Helvetica"/>
          <w:sz w:val="20"/>
          <w:lang w:val="lt-LT"/>
        </w:rPr>
        <w:t xml:space="preserve">, </w:t>
      </w:r>
      <w:r w:rsidRPr="003165CE">
        <w:rPr>
          <w:rFonts w:ascii="Helvetica" w:hAnsi="Helvetica"/>
          <w:i/>
          <w:sz w:val="20"/>
          <w:lang w:val="lt-LT"/>
        </w:rPr>
        <w:t>Calami rhizoma</w:t>
      </w:r>
      <w:r w:rsidRPr="003165CE">
        <w:rPr>
          <w:rFonts w:ascii="Helvetica" w:hAnsi="Helvetica"/>
          <w:sz w:val="20"/>
          <w:lang w:val="lt-LT"/>
        </w:rPr>
        <w:t xml:space="preserve">, </w:t>
      </w:r>
      <w:r w:rsidRPr="003165CE">
        <w:rPr>
          <w:rFonts w:ascii="Helvetica" w:hAnsi="Helvetica"/>
          <w:i/>
          <w:sz w:val="20"/>
          <w:lang w:val="lt-LT"/>
        </w:rPr>
        <w:t>Capsici fructus</w:t>
      </w:r>
      <w:r w:rsidRPr="003165CE">
        <w:rPr>
          <w:rFonts w:ascii="Helvetica" w:hAnsi="Helvetica"/>
          <w:sz w:val="20"/>
          <w:lang w:val="lt-LT"/>
        </w:rPr>
        <w:t xml:space="preserve"> (</w:t>
      </w:r>
      <w:r w:rsidRPr="003165CE">
        <w:rPr>
          <w:rFonts w:ascii="Helvetica" w:hAnsi="Helvetica"/>
          <w:i/>
          <w:sz w:val="20"/>
          <w:lang w:val="lt-LT"/>
        </w:rPr>
        <w:t>capsicum</w:t>
      </w:r>
      <w:r w:rsidRPr="003165CE">
        <w:rPr>
          <w:rFonts w:ascii="Helvetica" w:hAnsi="Helvetica"/>
          <w:sz w:val="20"/>
          <w:lang w:val="lt-LT"/>
        </w:rPr>
        <w:t xml:space="preserve">), </w:t>
      </w:r>
      <w:r w:rsidRPr="003165CE">
        <w:rPr>
          <w:rFonts w:ascii="Helvetica" w:hAnsi="Helvetica"/>
          <w:i/>
          <w:sz w:val="20"/>
          <w:lang w:val="lt-LT"/>
        </w:rPr>
        <w:t>Capsici fructus acer</w:t>
      </w:r>
      <w:r w:rsidRPr="003165CE">
        <w:rPr>
          <w:rFonts w:ascii="Helvetica" w:hAnsi="Helvetica"/>
          <w:sz w:val="20"/>
          <w:lang w:val="lt-LT"/>
        </w:rPr>
        <w:t xml:space="preserve"> (Kajeno pipirus), </w:t>
      </w:r>
      <w:r w:rsidRPr="003165CE">
        <w:rPr>
          <w:rFonts w:ascii="Helvetica" w:hAnsi="Helvetica"/>
          <w:i/>
          <w:sz w:val="20"/>
          <w:lang w:val="lt-LT"/>
        </w:rPr>
        <w:t>Curcumae longae rhizoma</w:t>
      </w:r>
      <w:r w:rsidRPr="003165CE">
        <w:rPr>
          <w:rFonts w:ascii="Helvetica" w:hAnsi="Helvetica"/>
          <w:sz w:val="20"/>
          <w:lang w:val="lt-LT"/>
        </w:rPr>
        <w:t xml:space="preserve">, </w:t>
      </w:r>
      <w:r w:rsidRPr="003165CE">
        <w:rPr>
          <w:rFonts w:ascii="Helvetica" w:hAnsi="Helvetica"/>
          <w:i/>
          <w:sz w:val="20"/>
          <w:lang w:val="lt-LT"/>
        </w:rPr>
        <w:t>Curcumae xanthorrhizae rhizoma</w:t>
      </w:r>
      <w:r w:rsidRPr="003165CE">
        <w:rPr>
          <w:rFonts w:ascii="Helvetica" w:hAnsi="Helvetica"/>
          <w:sz w:val="20"/>
          <w:lang w:val="lt-LT"/>
        </w:rPr>
        <w:t xml:space="preserve">, </w:t>
      </w:r>
      <w:r w:rsidRPr="003165CE">
        <w:rPr>
          <w:rFonts w:ascii="Helvetica" w:hAnsi="Helvetica"/>
          <w:i/>
          <w:sz w:val="20"/>
          <w:lang w:val="lt-LT"/>
        </w:rPr>
        <w:t>Galangae rhizoma</w:t>
      </w:r>
      <w:r w:rsidRPr="003165CE">
        <w:rPr>
          <w:rFonts w:ascii="Helvetica" w:hAnsi="Helvetica"/>
          <w:sz w:val="20"/>
          <w:lang w:val="lt-LT"/>
        </w:rPr>
        <w:t xml:space="preserve">, </w:t>
      </w:r>
      <w:r w:rsidRPr="003165CE">
        <w:rPr>
          <w:rFonts w:ascii="Helvetica" w:hAnsi="Helvetica"/>
          <w:i/>
          <w:sz w:val="20"/>
          <w:lang w:val="lt-LT"/>
        </w:rPr>
        <w:t>Myristicae semen</w:t>
      </w:r>
      <w:r w:rsidRPr="003165CE">
        <w:rPr>
          <w:rFonts w:ascii="Helvetica" w:hAnsi="Helvetica"/>
          <w:sz w:val="20"/>
          <w:lang w:val="lt-LT"/>
        </w:rPr>
        <w:t xml:space="preserve">, </w:t>
      </w:r>
      <w:r w:rsidRPr="003165CE">
        <w:rPr>
          <w:rFonts w:ascii="Helvetica" w:hAnsi="Helvetica"/>
          <w:i/>
          <w:sz w:val="20"/>
          <w:lang w:val="lt-LT"/>
        </w:rPr>
        <w:t>Piperis nigri fructus (</w:t>
      </w:r>
      <w:r w:rsidRPr="003165CE">
        <w:rPr>
          <w:rFonts w:ascii="Helvetica" w:hAnsi="Helvetica"/>
          <w:sz w:val="20"/>
          <w:lang w:val="lt-LT"/>
        </w:rPr>
        <w:t>juoduosius pipirus</w:t>
      </w:r>
      <w:r w:rsidRPr="003165CE">
        <w:rPr>
          <w:rFonts w:ascii="Helvetica" w:hAnsi="Helvetica"/>
          <w:i/>
          <w:sz w:val="20"/>
          <w:lang w:val="lt-LT"/>
        </w:rPr>
        <w:t>)</w:t>
      </w:r>
      <w:r w:rsidRPr="003165CE">
        <w:rPr>
          <w:rFonts w:ascii="Helvetica" w:hAnsi="Helvetica"/>
          <w:sz w:val="20"/>
          <w:lang w:val="lt-LT"/>
        </w:rPr>
        <w:t xml:space="preserve">, </w:t>
      </w:r>
      <w:r w:rsidRPr="003165CE">
        <w:rPr>
          <w:rFonts w:ascii="Helvetica" w:hAnsi="Helvetica"/>
          <w:i/>
          <w:sz w:val="20"/>
          <w:lang w:val="lt-LT"/>
        </w:rPr>
        <w:t>Sinapis albae semen</w:t>
      </w:r>
      <w:r w:rsidRPr="003165CE">
        <w:rPr>
          <w:rFonts w:ascii="Helvetica" w:hAnsi="Helvetica"/>
          <w:sz w:val="20"/>
          <w:lang w:val="lt-LT"/>
        </w:rPr>
        <w:t xml:space="preserve"> (baltųjų garstyčių sėklas), </w:t>
      </w:r>
      <w:r w:rsidRPr="003165CE">
        <w:rPr>
          <w:rFonts w:ascii="Helvetica" w:hAnsi="Helvetica"/>
          <w:i/>
          <w:sz w:val="20"/>
          <w:lang w:val="lt-LT"/>
        </w:rPr>
        <w:t>Sinapis nigri semen</w:t>
      </w:r>
      <w:r w:rsidRPr="003165CE">
        <w:rPr>
          <w:rFonts w:ascii="Helvetica" w:hAnsi="Helvetica"/>
          <w:sz w:val="20"/>
          <w:lang w:val="lt-LT"/>
        </w:rPr>
        <w:t xml:space="preserve">, </w:t>
      </w:r>
      <w:r w:rsidRPr="003165CE">
        <w:rPr>
          <w:rFonts w:ascii="Helvetica" w:hAnsi="Helvetica"/>
          <w:i/>
          <w:sz w:val="20"/>
          <w:lang w:val="lt-LT"/>
        </w:rPr>
        <w:t>Zedoariae rhizoma</w:t>
      </w:r>
      <w:r w:rsidRPr="003165CE">
        <w:rPr>
          <w:rFonts w:ascii="Helvetica" w:hAnsi="Helvetica"/>
          <w:sz w:val="20"/>
          <w:lang w:val="lt-LT"/>
        </w:rPr>
        <w:t xml:space="preserve"> ir </w:t>
      </w:r>
      <w:r w:rsidRPr="003165CE">
        <w:rPr>
          <w:rFonts w:ascii="Helvetica" w:hAnsi="Helvetica"/>
          <w:i/>
          <w:sz w:val="20"/>
          <w:lang w:val="lt-LT"/>
        </w:rPr>
        <w:t>Zingiberis rhizoma</w:t>
      </w:r>
      <w:r w:rsidRPr="003165CE">
        <w:rPr>
          <w:rFonts w:ascii="Helvetica" w:hAnsi="Helvetica"/>
          <w:sz w:val="20"/>
          <w:lang w:val="lt-LT"/>
        </w:rPr>
        <w:t xml:space="preserve">, geriausiai bent vieną vaistą, pasirinktą iš grupės, apimančios </w:t>
      </w:r>
      <w:r w:rsidRPr="003165CE">
        <w:rPr>
          <w:rFonts w:ascii="Helvetica" w:hAnsi="Helvetica"/>
          <w:i/>
          <w:sz w:val="20"/>
          <w:lang w:val="lt-LT"/>
        </w:rPr>
        <w:t>Capsici fructus</w:t>
      </w:r>
      <w:r w:rsidRPr="003165CE">
        <w:rPr>
          <w:rFonts w:ascii="Helvetica" w:hAnsi="Helvetica"/>
          <w:sz w:val="20"/>
          <w:lang w:val="lt-LT"/>
        </w:rPr>
        <w:t xml:space="preserve"> (</w:t>
      </w:r>
      <w:r w:rsidRPr="003165CE">
        <w:rPr>
          <w:rFonts w:ascii="Helvetica" w:hAnsi="Helvetica"/>
          <w:i/>
          <w:sz w:val="20"/>
          <w:lang w:val="lt-LT"/>
        </w:rPr>
        <w:t>capsicum</w:t>
      </w:r>
      <w:r w:rsidRPr="003165CE">
        <w:rPr>
          <w:rFonts w:ascii="Helvetica" w:hAnsi="Helvetica"/>
          <w:sz w:val="20"/>
          <w:lang w:val="lt-LT"/>
        </w:rPr>
        <w:t xml:space="preserve">), </w:t>
      </w:r>
      <w:r w:rsidRPr="003165CE">
        <w:rPr>
          <w:rFonts w:ascii="Helvetica" w:hAnsi="Helvetica"/>
          <w:i/>
          <w:sz w:val="20"/>
          <w:lang w:val="lt-LT"/>
        </w:rPr>
        <w:t xml:space="preserve">Capsici fructus acer </w:t>
      </w:r>
      <w:r w:rsidRPr="003165CE">
        <w:rPr>
          <w:rFonts w:ascii="Helvetica" w:hAnsi="Helvetica"/>
          <w:sz w:val="20"/>
          <w:lang w:val="lt-LT"/>
        </w:rPr>
        <w:t xml:space="preserve">(Kajeno pipirus) ir </w:t>
      </w:r>
      <w:r w:rsidRPr="003165CE">
        <w:rPr>
          <w:rFonts w:ascii="Helvetica" w:hAnsi="Helvetica"/>
          <w:i/>
          <w:sz w:val="20"/>
          <w:lang w:val="lt-LT"/>
        </w:rPr>
        <w:t>Piperis nigri fructus</w:t>
      </w:r>
      <w:r w:rsidRPr="003165CE">
        <w:rPr>
          <w:rFonts w:ascii="Helvetica" w:hAnsi="Helvetica"/>
          <w:sz w:val="20"/>
          <w:lang w:val="lt-LT"/>
        </w:rPr>
        <w:t xml:space="preserve"> (juoduosius pipirus).</w:t>
      </w:r>
    </w:p>
    <w:p w14:paraId="1412C23B"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37A1C699" w14:textId="63C7FEC3"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20.</w:t>
      </w:r>
      <w:r w:rsidR="003165CE" w:rsidRPr="003165CE">
        <w:rPr>
          <w:rFonts w:ascii="Helvetica" w:hAnsi="Helvetica"/>
          <w:sz w:val="20"/>
          <w:lang w:val="lt-LT"/>
        </w:rPr>
        <w:t xml:space="preserve"> </w:t>
      </w:r>
      <w:r w:rsidRPr="003165CE">
        <w:rPr>
          <w:rFonts w:ascii="Helvetica" w:hAnsi="Helvetica"/>
          <w:sz w:val="20"/>
          <w:lang w:val="lt-LT"/>
        </w:rPr>
        <w:t>Dozavimo forma, skirta naudoti pagal 18 arba 19 punktą,</w:t>
      </w:r>
      <w:r w:rsidR="003165CE" w:rsidRPr="003165CE">
        <w:rPr>
          <w:rFonts w:ascii="Helvetica" w:hAnsi="Helvetica"/>
          <w:sz w:val="20"/>
          <w:lang w:val="lt-LT"/>
        </w:rPr>
        <w:t xml:space="preserve">  b e s i s k i r i a n t i  </w:t>
      </w:r>
      <w:r w:rsidRPr="003165CE">
        <w:rPr>
          <w:rFonts w:ascii="Helvetica" w:hAnsi="Helvetica"/>
          <w:sz w:val="20"/>
          <w:lang w:val="lt-LT"/>
        </w:rPr>
        <w:t>tuo, kad aštraus skonio medžiagos vaisto sudedamoji dalis yra esanti kaip o-metoksi(metil)fenolio junginys, rūgšties amido junginys, garstyčių aliejus arba sulfido junginys, arba yra tokio junginio darinys.</w:t>
      </w:r>
    </w:p>
    <w:p w14:paraId="00E2F442"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544CADA1" w14:textId="3AA785DD"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21.</w:t>
      </w:r>
      <w:r w:rsidR="003165CE" w:rsidRPr="003165CE">
        <w:rPr>
          <w:rFonts w:ascii="Helvetica" w:hAnsi="Helvetica"/>
          <w:sz w:val="20"/>
          <w:lang w:val="lt-LT"/>
        </w:rPr>
        <w:t xml:space="preserve"> </w:t>
      </w:r>
      <w:r w:rsidRPr="003165CE">
        <w:rPr>
          <w:rFonts w:ascii="Helvetica" w:hAnsi="Helvetica"/>
          <w:sz w:val="20"/>
          <w:lang w:val="lt-LT"/>
        </w:rPr>
        <w:t>Dozavimo forma, skirta naudoti pagal bet kurį vieną iš 18-20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aštraus skonio medžiagos vaisto sudedamąja dalimi yra bent vienas komponentas, pasirinktas iš grupės, apimančios miristiciną, elemiciną, izoeugenolį, β-azaroną, safrolį, imbiero aliejus, ksantorizolį, kapsaicinoidus, optimaliai kapsaiciną, piperiną, optimaliai transpiperiną, gliukozinolatus, optimaliai nelakiųjų garstyčių aliejų pagrindu, geriausiai p-hidroksibenzilo garstyčių aliejaus, metilmerkapto garstyčių aliejaus arba metilsulfonilo garstyčių aliejaus pagrindu, ir junginių, gautų iš tokių sudedamųjų dalių.</w:t>
      </w:r>
    </w:p>
    <w:p w14:paraId="17385828"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1CADCF5C" w14:textId="4289AB17"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22.</w:t>
      </w:r>
      <w:r w:rsidR="003165CE" w:rsidRPr="003165CE">
        <w:rPr>
          <w:rFonts w:ascii="Helvetica" w:hAnsi="Helvetica"/>
          <w:sz w:val="20"/>
          <w:lang w:val="lt-LT"/>
        </w:rPr>
        <w:t xml:space="preserve"> </w:t>
      </w:r>
      <w:r w:rsidRPr="003165CE">
        <w:rPr>
          <w:rFonts w:ascii="Helvetica" w:hAnsi="Helvetica"/>
          <w:sz w:val="20"/>
          <w:lang w:val="lt-LT"/>
        </w:rPr>
        <w:t>Dozavimo forma, skirta naudoti pagal bet kurį vieną iš 16-21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kaip (b) komponentas yra bent vienas klampumą didinantis agentas, pasirinktas iš grupės, apimančios mikrokristalinę celiuliozę su 11 masės % natrio karboksimetilcelliuliozės (Avicel® RC 591), natrio karboksimetilcelliuliozę (Blanose®, CMC-Na C300P®, Frimulsion BLC-5®, Tylose C300 P®), poliakrilo rūgštį (Carbopol® 980 NF, Carbopol® 981), saldžiavaisio pupmedžio vaisių miltus (Cesagum® LA-200, Cesagum® LID/150,</w:t>
      </w:r>
      <w:r w:rsidR="003165CE" w:rsidRPr="003165CE">
        <w:rPr>
          <w:rFonts w:ascii="Helvetica" w:hAnsi="Helvetica"/>
          <w:sz w:val="20"/>
          <w:lang w:val="lt-LT"/>
        </w:rPr>
        <w:t xml:space="preserve"> </w:t>
      </w:r>
      <w:r w:rsidRPr="003165CE">
        <w:rPr>
          <w:rFonts w:ascii="Helvetica" w:hAnsi="Helvetica"/>
          <w:sz w:val="20"/>
          <w:lang w:val="lt-LT"/>
        </w:rPr>
        <w:t>Cesagum® LN-1), citrusinių vaisių arba obuolių pektinus (Cesapectin® HM Medium Rapid Set), vaškinių kukurūzų krakmolą (C*Gel 04201®), natrio alginatą (Frimulsion ALG (E401)®), guaro miltus (Frimulsion BM®, Polygum 26/1-75®), jota-karagenaną (Frimulsion D021®), karajos sakus, gelano dervą (Kelcogel F®, Kelcogel LT100®), galaktomananą (Meyprogat 150®), tara akmens miltus (Polygum 43/1®), propileno glikolio alginatą (Protanal-Ester SD-LB®, obuolių pektiną, natrio hialuronatą, tragakantą, tara dervą (Vidogum SP 200®), fermentuotą polisacharido velano dervą (K1A96) ir ksantano dervą (Xantural 180®).</w:t>
      </w:r>
    </w:p>
    <w:p w14:paraId="338B8F8F"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52F8B60A" w14:textId="534D5B70"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23. Dozavimo forma, skirta naudoti pagal bet kurį vieną iš 18-22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(c) komponentu yra bent vienas opioido antagonistas.</w:t>
      </w:r>
    </w:p>
    <w:p w14:paraId="3E1B96E5"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2A6C91A0" w14:textId="432461FE"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24. Dozavimo forma, skirta naudoti pagal bet kurį vieną iš 16-23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(d) komponento emetikas yra vienos arba kelių ipekakuanos (</w:t>
      </w:r>
      <w:r w:rsidRPr="003165CE">
        <w:rPr>
          <w:rFonts w:ascii="Helvetica" w:hAnsi="Helvetica"/>
          <w:i/>
          <w:sz w:val="20"/>
          <w:lang w:val="lt-LT"/>
        </w:rPr>
        <w:t>ipecac</w:t>
      </w:r>
      <w:r w:rsidRPr="003165CE">
        <w:rPr>
          <w:rFonts w:ascii="Helvetica" w:hAnsi="Helvetica"/>
          <w:sz w:val="20"/>
          <w:lang w:val="lt-LT"/>
        </w:rPr>
        <w:t xml:space="preserve">) šaknų sudedamųjų dalių pagrindu, optimaliai emetino komponento pagrindu, </w:t>
      </w:r>
      <w:r w:rsidR="003165CE" w:rsidRPr="003165CE">
        <w:rPr>
          <w:rFonts w:ascii="Helvetica" w:hAnsi="Helvetica"/>
          <w:sz w:val="20"/>
          <w:lang w:val="lt-LT"/>
        </w:rPr>
        <w:t>ir (arba)</w:t>
      </w:r>
      <w:r w:rsidRPr="003165CE">
        <w:rPr>
          <w:rFonts w:ascii="Helvetica" w:hAnsi="Helvetica"/>
          <w:sz w:val="20"/>
          <w:lang w:val="lt-LT"/>
        </w:rPr>
        <w:t xml:space="preserve"> yra apomorfinas.</w:t>
      </w:r>
    </w:p>
    <w:p w14:paraId="03FFABDA"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221B617F" w14:textId="7CB01E42"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lastRenderedPageBreak/>
        <w:t>25. Dozavimo forma, skirta naudoti pagal bet kurį vieną iš 16-24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(e) komponentas</w:t>
      </w:r>
      <w:r w:rsidR="003165CE" w:rsidRPr="003165CE">
        <w:rPr>
          <w:rFonts w:ascii="Helvetica" w:hAnsi="Helvetica"/>
          <w:sz w:val="20"/>
          <w:lang w:val="lt-LT"/>
        </w:rPr>
        <w:t xml:space="preserve"> </w:t>
      </w:r>
      <w:r w:rsidRPr="003165CE">
        <w:rPr>
          <w:rFonts w:ascii="Helvetica" w:hAnsi="Helvetica"/>
          <w:sz w:val="20"/>
          <w:lang w:val="lt-LT"/>
        </w:rPr>
        <w:t>yra bent vienas fiziologiniu požiūriu priimtinas dažas.</w:t>
      </w:r>
    </w:p>
    <w:p w14:paraId="332FC306"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0F780BB9" w14:textId="23D5B90D" w:rsidR="00273BFF"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26. Dozavimo forma, skirta naudoti pagal bet kurį vieną iš 16-25 punktų,</w:t>
      </w:r>
      <w:r w:rsidR="003165CE" w:rsidRPr="003165CE">
        <w:rPr>
          <w:rFonts w:ascii="Helvetica" w:hAnsi="Helvetica"/>
          <w:sz w:val="20"/>
          <w:lang w:val="lt-LT"/>
        </w:rPr>
        <w:t xml:space="preserve">  b e s i s k i r i a n t i  </w:t>
      </w:r>
      <w:r w:rsidRPr="003165CE">
        <w:rPr>
          <w:rFonts w:ascii="Helvetica" w:hAnsi="Helvetica"/>
          <w:sz w:val="20"/>
          <w:lang w:val="lt-LT"/>
        </w:rPr>
        <w:t>tuo, kad (f) komponentas yra bent viena karti medžiaga, pasirinkta iš grupės, susidedančios iš aromatinių aliejų, optimaliai pipirmėčių aliejaus, eukalipto aliejaus, karčių migdolų aliejaus, mentolio ir jų mišinių, vaisių aromatinių medžiagų, optimaliai citrinų, apelsinų, žaliųjų citrinų, greipfrutų ir jų mišinių iš mažiausiai dviejų komponentų, denatonio benzoato ir jų mišinių iš mažiausiai dviejų komponentų.</w:t>
      </w:r>
    </w:p>
    <w:p w14:paraId="69C72634" w14:textId="77777777" w:rsidR="003165CE" w:rsidRPr="003165CE" w:rsidRDefault="003165CE" w:rsidP="003165CE">
      <w:pPr>
        <w:suppressAutoHyphens w:val="0"/>
        <w:spacing w:line="360" w:lineRule="auto"/>
        <w:ind w:firstLine="567"/>
        <w:jc w:val="both"/>
        <w:rPr>
          <w:rFonts w:ascii="Helvetica" w:hAnsi="Helvetica"/>
          <w:sz w:val="20"/>
          <w:lang w:val="lt-LT"/>
        </w:rPr>
      </w:pPr>
    </w:p>
    <w:p w14:paraId="709CBFD9" w14:textId="10CF954C" w:rsidR="003165CE" w:rsidRPr="003165CE" w:rsidRDefault="000115B9" w:rsidP="003165CE">
      <w:pPr>
        <w:suppressAutoHyphens w:val="0"/>
        <w:spacing w:line="360" w:lineRule="auto"/>
        <w:ind w:firstLine="567"/>
        <w:jc w:val="both"/>
        <w:rPr>
          <w:rFonts w:ascii="Helvetica" w:hAnsi="Helvetica"/>
          <w:sz w:val="20"/>
          <w:lang w:val="lt-LT"/>
        </w:rPr>
      </w:pPr>
      <w:r w:rsidRPr="003165CE">
        <w:rPr>
          <w:rFonts w:ascii="Helvetica" w:hAnsi="Helvetica"/>
          <w:sz w:val="20"/>
          <w:lang w:val="lt-LT"/>
        </w:rPr>
        <w:t>27. Dozavimo forma, skirta naudoti pagal bet kurį vieną iš 16-26 punktų,</w:t>
      </w:r>
      <w:r w:rsidR="003165CE" w:rsidRPr="003165CE">
        <w:rPr>
          <w:rFonts w:ascii="Helvetica" w:hAnsi="Helvetica"/>
          <w:sz w:val="20"/>
          <w:lang w:val="lt-LT"/>
        </w:rPr>
        <w:t xml:space="preserve">  b e s i s k i r i a n t i  </w:t>
      </w:r>
      <w:r w:rsidRPr="003165CE">
        <w:rPr>
          <w:rFonts w:ascii="Helvetica" w:hAnsi="Helvetica"/>
          <w:sz w:val="20"/>
          <w:lang w:val="lt-LT"/>
        </w:rPr>
        <w:t xml:space="preserve">tuo, kad veiklusis ingredientas (A) yra erdvėje atskirtas, optimaliai be tiesioginio kontakto, nuo komponento (c) </w:t>
      </w:r>
      <w:r w:rsidR="003165CE" w:rsidRPr="003165CE">
        <w:rPr>
          <w:rFonts w:ascii="Helvetica" w:hAnsi="Helvetica"/>
          <w:sz w:val="20"/>
          <w:lang w:val="lt-LT"/>
        </w:rPr>
        <w:t>ir (arba)</w:t>
      </w:r>
      <w:r w:rsidRPr="003165CE">
        <w:rPr>
          <w:rFonts w:ascii="Helvetica" w:hAnsi="Helvetica"/>
          <w:sz w:val="20"/>
          <w:lang w:val="lt-LT"/>
        </w:rPr>
        <w:t xml:space="preserve"> (d) </w:t>
      </w:r>
      <w:r w:rsidR="003165CE" w:rsidRPr="003165CE">
        <w:rPr>
          <w:rFonts w:ascii="Helvetica" w:hAnsi="Helvetica"/>
          <w:sz w:val="20"/>
          <w:lang w:val="lt-LT"/>
        </w:rPr>
        <w:t>ir (arba)</w:t>
      </w:r>
      <w:r w:rsidRPr="003165CE">
        <w:rPr>
          <w:rFonts w:ascii="Helvetica" w:hAnsi="Helvetica"/>
          <w:sz w:val="20"/>
          <w:lang w:val="lt-LT"/>
        </w:rPr>
        <w:t xml:space="preserve"> (f), kur veiklusis ingredientas(-ai) (A) yra esantis(-ys), optimaliai, bent viename (X) subvienete, o komponentai (c) </w:t>
      </w:r>
      <w:r w:rsidR="003165CE" w:rsidRPr="003165CE">
        <w:rPr>
          <w:rFonts w:ascii="Helvetica" w:hAnsi="Helvetica"/>
          <w:sz w:val="20"/>
          <w:lang w:val="lt-LT"/>
        </w:rPr>
        <w:t>ir (arba)</w:t>
      </w:r>
      <w:r w:rsidRPr="003165CE">
        <w:rPr>
          <w:rFonts w:ascii="Helvetica" w:hAnsi="Helvetica"/>
          <w:sz w:val="20"/>
          <w:lang w:val="lt-LT"/>
        </w:rPr>
        <w:t xml:space="preserve"> (d) </w:t>
      </w:r>
      <w:r w:rsidR="003165CE" w:rsidRPr="003165CE">
        <w:rPr>
          <w:rFonts w:ascii="Helvetica" w:hAnsi="Helvetica"/>
          <w:sz w:val="20"/>
          <w:lang w:val="lt-LT"/>
        </w:rPr>
        <w:t>ir (arba)</w:t>
      </w:r>
      <w:r w:rsidRPr="003165CE">
        <w:rPr>
          <w:rFonts w:ascii="Helvetica" w:hAnsi="Helvetica"/>
          <w:sz w:val="20"/>
          <w:lang w:val="lt-LT"/>
        </w:rPr>
        <w:t xml:space="preserve"> (f) yra esantys bent viename (Y) subvienete, ir, jei dozavimo forma paskirta teisingai, (Y) subvieneto</w:t>
      </w:r>
      <w:r w:rsidR="003165CE" w:rsidRPr="003165CE">
        <w:rPr>
          <w:rFonts w:ascii="Helvetica" w:hAnsi="Helvetica"/>
          <w:sz w:val="20"/>
          <w:lang w:val="lt-LT"/>
        </w:rPr>
        <w:t xml:space="preserve"> </w:t>
      </w:r>
      <w:r w:rsidRPr="003165CE">
        <w:rPr>
          <w:rFonts w:ascii="Helvetica" w:hAnsi="Helvetica"/>
          <w:sz w:val="20"/>
          <w:lang w:val="lt-LT"/>
        </w:rPr>
        <w:t xml:space="preserve">komponentai (c) </w:t>
      </w:r>
      <w:r w:rsidR="003165CE" w:rsidRPr="003165CE">
        <w:rPr>
          <w:rFonts w:ascii="Helvetica" w:hAnsi="Helvetica"/>
          <w:sz w:val="20"/>
          <w:lang w:val="lt-LT"/>
        </w:rPr>
        <w:t>ir (arba)</w:t>
      </w:r>
      <w:r w:rsidRPr="003165CE">
        <w:rPr>
          <w:rFonts w:ascii="Helvetica" w:hAnsi="Helvetica"/>
          <w:sz w:val="20"/>
          <w:lang w:val="lt-LT"/>
        </w:rPr>
        <w:t xml:space="preserve"> (d) </w:t>
      </w:r>
      <w:r w:rsidR="003165CE" w:rsidRPr="003165CE">
        <w:rPr>
          <w:rFonts w:ascii="Helvetica" w:hAnsi="Helvetica"/>
          <w:sz w:val="20"/>
          <w:lang w:val="lt-LT"/>
        </w:rPr>
        <w:t>ir (arba)</w:t>
      </w:r>
      <w:r w:rsidRPr="003165CE">
        <w:rPr>
          <w:rFonts w:ascii="Helvetica" w:hAnsi="Helvetica"/>
          <w:sz w:val="20"/>
          <w:lang w:val="lt-LT"/>
        </w:rPr>
        <w:t xml:space="preserve"> (f) nedaro jų poveikio organizmui arba vartojant.</w:t>
      </w:r>
    </w:p>
    <w:sectPr w:rsidR="003165CE" w:rsidRPr="003165CE" w:rsidSect="003165CE">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9B00" w14:textId="77777777" w:rsidR="006A36DE" w:rsidRDefault="006A36DE">
      <w:r>
        <w:separator/>
      </w:r>
    </w:p>
  </w:endnote>
  <w:endnote w:type="continuationSeparator" w:id="0">
    <w:p w14:paraId="3B91FE78" w14:textId="77777777" w:rsidR="006A36DE" w:rsidRDefault="006A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3228" w14:textId="77777777" w:rsidR="006A36DE" w:rsidRDefault="006A36DE">
      <w:r>
        <w:separator/>
      </w:r>
    </w:p>
  </w:footnote>
  <w:footnote w:type="continuationSeparator" w:id="0">
    <w:p w14:paraId="719E33E5" w14:textId="77777777" w:rsidR="006A36DE" w:rsidRDefault="006A3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0000002"/>
    <w:multiLevelType w:val="multilevel"/>
    <w:tmpl w:val="00000002"/>
    <w:lvl w:ilvl="0">
      <w:start w:val="2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2967722">
    <w:abstractNumId w:val="0"/>
  </w:num>
  <w:num w:numId="2" w16cid:durableId="79976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CF"/>
    <w:rsid w:val="000115B9"/>
    <w:rsid w:val="00273BFF"/>
    <w:rsid w:val="003165CE"/>
    <w:rsid w:val="006A36DE"/>
    <w:rsid w:val="00DA76CF"/>
    <w:rsid w:val="00ED5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4226C6"/>
  <w15:chartTrackingRefBased/>
  <w15:docId w15:val="{6012ED8C-DC12-4CDB-AF47-15958441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ind w:left="720" w:firstLine="720"/>
      <w:jc w:val="both"/>
      <w:outlineLvl w:val="0"/>
    </w:pPr>
    <w:rPr>
      <w:rFonts w:ascii="TimesLT" w:hAnsi="TimesLT" w:cs="TimesLT"/>
      <w:color w:val="00000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5z1">
    <w:name w:val="WW8Num15z1"/>
    <w:rPr>
      <w:rFonts w:ascii="Symbol" w:hAnsi="Symbol" w:cs="Symbol"/>
    </w:rPr>
  </w:style>
  <w:style w:type="character" w:customStyle="1" w:styleId="WW8Num20z1">
    <w:name w:val="WW8Num20z1"/>
    <w:rPr>
      <w:rFonts w:ascii="Symbol" w:hAnsi="Symbol" w:cs="Symbol"/>
    </w:rPr>
  </w:style>
  <w:style w:type="character" w:styleId="LineNumber">
    <w:name w:val="line number"/>
    <w:basedOn w:val="DefaultParagraphFont"/>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customStyle="1" w:styleId="Framecontents">
    <w:name w:val="Frame contents"/>
    <w:basedOn w:val="BodyText"/>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1744</Words>
  <Characters>9492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IŠRADIMO APIBRĖŽTIS</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IŠRADIMO APIBRĖŽTIS</dc:title>
  <dc:subject/>
  <dc:creator>Liudmila Gerasimovich</dc:creator>
  <cp:keywords/>
  <cp:lastModifiedBy>Raimonda Kvietkauskaitė</cp:lastModifiedBy>
  <cp:revision>2</cp:revision>
  <cp:lastPrinted>2023-01-18T16:36:00Z</cp:lastPrinted>
  <dcterms:created xsi:type="dcterms:W3CDTF">2023-02-07T13:26:00Z</dcterms:created>
  <dcterms:modified xsi:type="dcterms:W3CDTF">2023-02-07T13:26:00Z</dcterms:modified>
</cp:coreProperties>
</file>