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EB26" w14:textId="4E1B43C5" w:rsidR="00284525" w:rsidRPr="00C038F4" w:rsidRDefault="0013202D" w:rsidP="00C038F4">
      <w:pPr>
        <w:spacing w:line="360" w:lineRule="auto"/>
        <w:ind w:firstLine="567"/>
        <w:contextualSpacing/>
        <w:jc w:val="both"/>
        <w:rPr>
          <w:rFonts w:ascii="Helvetica" w:hAnsi="Helvetica" w:cs="Arial"/>
          <w:noProof/>
          <w:sz w:val="20"/>
          <w:szCs w:val="22"/>
        </w:rPr>
      </w:pPr>
      <w:r w:rsidRPr="00C038F4">
        <w:rPr>
          <w:rFonts w:ascii="Helvetica" w:hAnsi="Helvetica" w:cs="Arial"/>
          <w:noProof/>
          <w:sz w:val="20"/>
          <w:szCs w:val="22"/>
        </w:rPr>
        <w:t>1.</w:t>
      </w:r>
      <w:r w:rsidR="00177A2E" w:rsidRPr="00C038F4">
        <w:rPr>
          <w:rFonts w:ascii="Helvetica" w:hAnsi="Helvetica" w:cs="Arial"/>
          <w:noProof/>
          <w:sz w:val="20"/>
          <w:szCs w:val="22"/>
        </w:rPr>
        <w:t xml:space="preserve"> </w:t>
      </w:r>
      <w:r w:rsidR="00284525" w:rsidRPr="00C038F4">
        <w:rPr>
          <w:rFonts w:ascii="Helvetica" w:hAnsi="Helvetica" w:cs="Arial"/>
          <w:noProof/>
          <w:sz w:val="20"/>
          <w:szCs w:val="22"/>
        </w:rPr>
        <w:t>Būdas laisvų Fc-fragmentų koncentracijos sumažinimui skystyje, apimančiame Fc turintį baltymą, k</w:t>
      </w:r>
      <w:r w:rsidR="00393411" w:rsidRPr="00C038F4">
        <w:rPr>
          <w:rFonts w:ascii="Helvetica" w:hAnsi="Helvetica" w:cs="Arial"/>
          <w:noProof/>
          <w:sz w:val="20"/>
          <w:szCs w:val="22"/>
        </w:rPr>
        <w:t xml:space="preserve">ur </w:t>
      </w:r>
      <w:r w:rsidR="00284525" w:rsidRPr="00C038F4">
        <w:rPr>
          <w:rFonts w:ascii="Helvetica" w:hAnsi="Helvetica" w:cs="Arial"/>
          <w:noProof/>
          <w:sz w:val="20"/>
          <w:szCs w:val="22"/>
        </w:rPr>
        <w:t>būdas apima minėto skysčio</w:t>
      </w:r>
      <w:r w:rsidR="00B8461F" w:rsidRPr="00C038F4">
        <w:rPr>
          <w:rFonts w:ascii="Helvetica" w:hAnsi="Helvetica" w:cs="Arial"/>
          <w:noProof/>
          <w:sz w:val="20"/>
          <w:szCs w:val="22"/>
        </w:rPr>
        <w:t xml:space="preserve"> pateikimą</w:t>
      </w:r>
      <w:r w:rsidR="00284525" w:rsidRPr="00C038F4">
        <w:rPr>
          <w:rFonts w:ascii="Helvetica" w:hAnsi="Helvetica" w:cs="Arial"/>
          <w:noProof/>
          <w:sz w:val="20"/>
          <w:szCs w:val="22"/>
        </w:rPr>
        <w:t xml:space="preserve"> katijonų mainų chromatografij</w:t>
      </w:r>
      <w:r w:rsidR="00B8461F" w:rsidRPr="00C038F4">
        <w:rPr>
          <w:rFonts w:ascii="Helvetica" w:hAnsi="Helvetica" w:cs="Arial"/>
          <w:noProof/>
          <w:sz w:val="20"/>
          <w:szCs w:val="22"/>
        </w:rPr>
        <w:t>ai ant</w:t>
      </w:r>
      <w:r w:rsidR="00284525" w:rsidRPr="00C038F4">
        <w:rPr>
          <w:rFonts w:ascii="Helvetica" w:hAnsi="Helvetica" w:cs="Arial"/>
          <w:noProof/>
          <w:sz w:val="20"/>
          <w:szCs w:val="22"/>
        </w:rPr>
        <w:t xml:space="preserve"> katijonų mainų dervo</w:t>
      </w:r>
      <w:r w:rsidR="00B8461F" w:rsidRPr="00C038F4">
        <w:rPr>
          <w:rFonts w:ascii="Helvetica" w:hAnsi="Helvetica" w:cs="Arial"/>
          <w:noProof/>
          <w:sz w:val="20"/>
          <w:szCs w:val="22"/>
        </w:rPr>
        <w:t>s</w:t>
      </w:r>
      <w:r w:rsidR="00284525" w:rsidRPr="00C038F4">
        <w:rPr>
          <w:rFonts w:ascii="Helvetica" w:hAnsi="Helvetica" w:cs="Arial"/>
          <w:noProof/>
          <w:sz w:val="20"/>
          <w:szCs w:val="22"/>
        </w:rPr>
        <w:t>, kurios pH yra bent vien</w:t>
      </w:r>
      <w:r w:rsidR="00B8461F" w:rsidRPr="00C038F4">
        <w:rPr>
          <w:rFonts w:ascii="Helvetica" w:hAnsi="Helvetica" w:cs="Arial"/>
          <w:noProof/>
          <w:sz w:val="20"/>
          <w:szCs w:val="22"/>
        </w:rPr>
        <w:t xml:space="preserve">u </w:t>
      </w:r>
      <w:r w:rsidR="00284525" w:rsidRPr="00C038F4">
        <w:rPr>
          <w:rFonts w:ascii="Helvetica" w:hAnsi="Helvetica" w:cs="Arial"/>
          <w:noProof/>
          <w:sz w:val="20"/>
          <w:szCs w:val="22"/>
        </w:rPr>
        <w:t>vienet</w:t>
      </w:r>
      <w:r w:rsidR="00B8461F" w:rsidRPr="00C038F4">
        <w:rPr>
          <w:rFonts w:ascii="Helvetica" w:hAnsi="Helvetica" w:cs="Arial"/>
          <w:noProof/>
          <w:sz w:val="20"/>
          <w:szCs w:val="22"/>
        </w:rPr>
        <w:t>u</w:t>
      </w:r>
      <w:r w:rsidR="00284525" w:rsidRPr="00C038F4">
        <w:rPr>
          <w:rFonts w:ascii="Helvetica" w:hAnsi="Helvetica" w:cs="Arial"/>
          <w:noProof/>
          <w:sz w:val="20"/>
          <w:szCs w:val="22"/>
        </w:rPr>
        <w:t xml:space="preserve"> žemiau izoelektrinio taško (p</w:t>
      </w:r>
      <w:r w:rsidR="00C038F4" w:rsidRPr="00C038F4">
        <w:rPr>
          <w:rFonts w:ascii="Helvetica" w:hAnsi="Helvetica" w:cs="Arial"/>
          <w:noProof/>
          <w:sz w:val="20"/>
          <w:szCs w:val="22"/>
        </w:rPr>
        <w:t>I</w:t>
      </w:r>
      <w:r w:rsidR="00284525" w:rsidRPr="00C038F4">
        <w:rPr>
          <w:rFonts w:ascii="Helvetica" w:hAnsi="Helvetica" w:cs="Arial"/>
          <w:noProof/>
          <w:sz w:val="20"/>
          <w:szCs w:val="22"/>
        </w:rPr>
        <w:t>)</w:t>
      </w:r>
      <w:r w:rsidR="00B8461F" w:rsidRPr="00C038F4">
        <w:rPr>
          <w:rFonts w:ascii="Helvetica" w:hAnsi="Helvetica" w:cs="Arial"/>
          <w:noProof/>
          <w:sz w:val="20"/>
          <w:szCs w:val="22"/>
        </w:rPr>
        <w:t xml:space="preserve"> negu</w:t>
      </w:r>
      <w:r w:rsidR="00284525" w:rsidRPr="00C038F4">
        <w:rPr>
          <w:rFonts w:ascii="Helvetica" w:hAnsi="Helvetica" w:cs="Arial"/>
          <w:noProof/>
          <w:sz w:val="20"/>
          <w:szCs w:val="22"/>
        </w:rPr>
        <w:t xml:space="preserve"> minėt</w:t>
      </w:r>
      <w:r w:rsidR="00B8461F" w:rsidRPr="00C038F4">
        <w:rPr>
          <w:rFonts w:ascii="Helvetica" w:hAnsi="Helvetica" w:cs="Arial"/>
          <w:noProof/>
          <w:sz w:val="20"/>
          <w:szCs w:val="22"/>
        </w:rPr>
        <w:t>o</w:t>
      </w:r>
      <w:r w:rsidR="00284525" w:rsidRPr="00C038F4">
        <w:rPr>
          <w:rFonts w:ascii="Helvetica" w:hAnsi="Helvetica" w:cs="Arial"/>
          <w:noProof/>
          <w:sz w:val="20"/>
          <w:szCs w:val="22"/>
        </w:rPr>
        <w:t xml:space="preserve"> Fc turin</w:t>
      </w:r>
      <w:r w:rsidR="00B8461F" w:rsidRPr="00C038F4">
        <w:rPr>
          <w:rFonts w:ascii="Helvetica" w:hAnsi="Helvetica" w:cs="Arial"/>
          <w:noProof/>
          <w:sz w:val="20"/>
          <w:szCs w:val="22"/>
        </w:rPr>
        <w:t>čio</w:t>
      </w:r>
      <w:r w:rsidR="00284525" w:rsidRPr="00C038F4">
        <w:rPr>
          <w:rFonts w:ascii="Helvetica" w:hAnsi="Helvetica" w:cs="Arial"/>
          <w:noProof/>
          <w:sz w:val="20"/>
          <w:szCs w:val="22"/>
        </w:rPr>
        <w:t xml:space="preserve"> baltym</w:t>
      </w:r>
      <w:r w:rsidR="00B8461F" w:rsidRPr="00C038F4">
        <w:rPr>
          <w:rFonts w:ascii="Helvetica" w:hAnsi="Helvetica" w:cs="Arial"/>
          <w:noProof/>
          <w:sz w:val="20"/>
          <w:szCs w:val="22"/>
        </w:rPr>
        <w:t>o,</w:t>
      </w:r>
      <w:r w:rsidR="00284525" w:rsidRPr="00C038F4">
        <w:rPr>
          <w:rFonts w:ascii="Helvetica" w:hAnsi="Helvetica" w:cs="Arial"/>
          <w:noProof/>
          <w:sz w:val="20"/>
          <w:szCs w:val="22"/>
        </w:rPr>
        <w:t xml:space="preserve"> ir katijonų mainų dervos plovim</w:t>
      </w:r>
      <w:r w:rsidR="00B8461F" w:rsidRPr="00C038F4">
        <w:rPr>
          <w:rFonts w:ascii="Helvetica" w:hAnsi="Helvetica" w:cs="Arial"/>
          <w:noProof/>
          <w:sz w:val="20"/>
          <w:szCs w:val="22"/>
        </w:rPr>
        <w:t>ą</w:t>
      </w:r>
      <w:r w:rsidR="00284525" w:rsidRPr="00C038F4">
        <w:rPr>
          <w:rFonts w:ascii="Helvetica" w:hAnsi="Helvetica" w:cs="Arial"/>
          <w:noProof/>
          <w:sz w:val="20"/>
          <w:szCs w:val="22"/>
        </w:rPr>
        <w:t xml:space="preserve"> buferiu, kurio laidumas yra nuo 8,2 iki 8,6 mS/cm, esant pH nuo 5,5 iki 7,5</w:t>
      </w:r>
      <w:r w:rsidR="00C9506E" w:rsidRPr="00C038F4">
        <w:rPr>
          <w:rFonts w:ascii="Helvetica" w:hAnsi="Helvetica" w:cs="Arial"/>
          <w:noProof/>
          <w:sz w:val="20"/>
          <w:szCs w:val="22"/>
        </w:rPr>
        <w:t xml:space="preserve"> ,</w:t>
      </w:r>
    </w:p>
    <w:p w14:paraId="2ECF6093" w14:textId="77777777" w:rsidR="00990DCA" w:rsidRPr="00C038F4" w:rsidRDefault="00393411" w:rsidP="00C038F4">
      <w:pPr>
        <w:spacing w:line="360" w:lineRule="auto"/>
        <w:contextualSpacing/>
        <w:jc w:val="both"/>
        <w:rPr>
          <w:rFonts w:ascii="Helvetica" w:hAnsi="Helvetica" w:cs="Arial"/>
          <w:noProof/>
          <w:sz w:val="20"/>
          <w:szCs w:val="22"/>
        </w:rPr>
      </w:pPr>
      <w:r w:rsidRPr="00C038F4">
        <w:rPr>
          <w:rFonts w:ascii="Helvetica" w:hAnsi="Helvetica" w:cs="Arial"/>
          <w:noProof/>
          <w:sz w:val="20"/>
          <w:szCs w:val="22"/>
        </w:rPr>
        <w:t xml:space="preserve">kur </w:t>
      </w:r>
      <w:r w:rsidR="00A620B7" w:rsidRPr="00C038F4">
        <w:rPr>
          <w:rFonts w:ascii="Helvetica" w:hAnsi="Helvetica" w:cs="Arial"/>
          <w:noProof/>
          <w:sz w:val="20"/>
          <w:szCs w:val="22"/>
        </w:rPr>
        <w:t>Fc turintis baltymas yra Fc-sulietas baltymas, kuris apima ligandą surišančią dalį iš naviko nekrozės faktoriaus receptorių (TNFR) superšeimos nario, parinkto iš</w:t>
      </w:r>
      <w:r w:rsidR="00990DCA" w:rsidRPr="00C038F4">
        <w:rPr>
          <w:rFonts w:ascii="Helvetica" w:hAnsi="Helvetica" w:cs="Arial"/>
          <w:noProof/>
          <w:sz w:val="20"/>
          <w:szCs w:val="22"/>
        </w:rPr>
        <w:t xml:space="preserve"> tarpląstelinio BAFF-R, BCMA, TACI domeno arba jų fragmentų, surišančių bent vieną iš Blys arba APRIL,</w:t>
      </w:r>
    </w:p>
    <w:p w14:paraId="425E204A" w14:textId="0F1B2AED" w:rsidR="001F1991" w:rsidRPr="00C038F4" w:rsidRDefault="00990DCA" w:rsidP="00C038F4">
      <w:pPr>
        <w:spacing w:line="360" w:lineRule="auto"/>
        <w:contextualSpacing/>
        <w:jc w:val="both"/>
        <w:rPr>
          <w:rFonts w:ascii="Helvetica" w:hAnsi="Helvetica" w:cs="Arial"/>
          <w:noProof/>
          <w:sz w:val="20"/>
          <w:szCs w:val="22"/>
        </w:rPr>
      </w:pPr>
      <w:r w:rsidRPr="00C038F4">
        <w:rPr>
          <w:rFonts w:ascii="Helvetica" w:hAnsi="Helvetica" w:cs="Arial"/>
          <w:noProof/>
          <w:sz w:val="20"/>
          <w:szCs w:val="22"/>
        </w:rPr>
        <w:t>kur</w:t>
      </w:r>
      <w:r w:rsidR="001F1991" w:rsidRPr="00C038F4">
        <w:rPr>
          <w:rFonts w:ascii="Helvetica" w:hAnsi="Helvetica" w:cs="Arial"/>
          <w:noProof/>
          <w:sz w:val="20"/>
          <w:szCs w:val="22"/>
        </w:rPr>
        <w:t xml:space="preserve"> Fc-sulietas baltymas apima polipeptidą, parinktą iš</w:t>
      </w:r>
    </w:p>
    <w:p w14:paraId="30099F42" w14:textId="77777777" w:rsidR="001F1991" w:rsidRPr="00C038F4" w:rsidRDefault="001F1991" w:rsidP="00C038F4">
      <w:pPr>
        <w:spacing w:line="360" w:lineRule="auto"/>
        <w:contextualSpacing/>
        <w:jc w:val="both"/>
        <w:rPr>
          <w:rFonts w:ascii="Helvetica" w:hAnsi="Helvetica" w:cs="Arial"/>
          <w:noProof/>
          <w:sz w:val="20"/>
          <w:szCs w:val="22"/>
        </w:rPr>
      </w:pPr>
      <w:r w:rsidRPr="00C038F4">
        <w:rPr>
          <w:rFonts w:ascii="Helvetica" w:hAnsi="Helvetica" w:cs="Arial"/>
          <w:noProof/>
          <w:sz w:val="20"/>
          <w:szCs w:val="22"/>
        </w:rPr>
        <w:t>a. nuo 34 iki 66 aminorūgščių iš SEQ ID Nr. 2;</w:t>
      </w:r>
    </w:p>
    <w:p w14:paraId="7C2F81C9" w14:textId="77777777" w:rsidR="001F1991" w:rsidRPr="00C038F4" w:rsidRDefault="001F1991" w:rsidP="00C038F4">
      <w:pPr>
        <w:spacing w:line="360" w:lineRule="auto"/>
        <w:contextualSpacing/>
        <w:jc w:val="both"/>
        <w:rPr>
          <w:rFonts w:ascii="Helvetica" w:hAnsi="Helvetica" w:cs="Arial"/>
          <w:noProof/>
          <w:sz w:val="20"/>
          <w:szCs w:val="22"/>
        </w:rPr>
      </w:pPr>
      <w:r w:rsidRPr="00C038F4">
        <w:rPr>
          <w:rFonts w:ascii="Helvetica" w:hAnsi="Helvetica" w:cs="Arial"/>
          <w:noProof/>
          <w:sz w:val="20"/>
          <w:szCs w:val="22"/>
        </w:rPr>
        <w:t>b. nuo 71 iki 104 aminorūgščių iš SEQ ID Nr. 2;</w:t>
      </w:r>
    </w:p>
    <w:p w14:paraId="459301EB" w14:textId="77777777" w:rsidR="001F1991" w:rsidRPr="00C038F4" w:rsidRDefault="001F1991" w:rsidP="00C038F4">
      <w:pPr>
        <w:spacing w:line="360" w:lineRule="auto"/>
        <w:contextualSpacing/>
        <w:jc w:val="both"/>
        <w:rPr>
          <w:rFonts w:ascii="Helvetica" w:hAnsi="Helvetica" w:cs="Arial"/>
          <w:noProof/>
          <w:sz w:val="20"/>
          <w:szCs w:val="22"/>
        </w:rPr>
      </w:pPr>
      <w:r w:rsidRPr="00C038F4">
        <w:rPr>
          <w:rFonts w:ascii="Helvetica" w:hAnsi="Helvetica" w:cs="Arial"/>
          <w:noProof/>
          <w:sz w:val="20"/>
          <w:szCs w:val="22"/>
        </w:rPr>
        <w:t>c. nuo 34 iki 104 aminorūgščių iš SEQ ID Nr. 2;</w:t>
      </w:r>
    </w:p>
    <w:p w14:paraId="33BD5EA0" w14:textId="77777777" w:rsidR="001F1991" w:rsidRPr="00C038F4" w:rsidRDefault="001F1991" w:rsidP="00C038F4">
      <w:pPr>
        <w:spacing w:line="360" w:lineRule="auto"/>
        <w:contextualSpacing/>
        <w:jc w:val="both"/>
        <w:rPr>
          <w:rFonts w:ascii="Helvetica" w:hAnsi="Helvetica" w:cs="Arial"/>
          <w:noProof/>
          <w:sz w:val="20"/>
          <w:szCs w:val="22"/>
        </w:rPr>
      </w:pPr>
      <w:r w:rsidRPr="00C038F4">
        <w:rPr>
          <w:rFonts w:ascii="Helvetica" w:hAnsi="Helvetica" w:cs="Arial"/>
          <w:noProof/>
          <w:sz w:val="20"/>
          <w:szCs w:val="22"/>
        </w:rPr>
        <w:t>d. nuo 30 iki 110 aminorūgščių iš SEQ ID Nr. 2;</w:t>
      </w:r>
    </w:p>
    <w:p w14:paraId="02E3FA31" w14:textId="77777777" w:rsidR="001F1991" w:rsidRPr="00C038F4" w:rsidRDefault="001F1991" w:rsidP="00C038F4">
      <w:pPr>
        <w:spacing w:line="360" w:lineRule="auto"/>
        <w:contextualSpacing/>
        <w:jc w:val="both"/>
        <w:rPr>
          <w:rFonts w:ascii="Helvetica" w:hAnsi="Helvetica" w:cs="Arial"/>
          <w:noProof/>
          <w:sz w:val="20"/>
          <w:szCs w:val="22"/>
        </w:rPr>
      </w:pPr>
      <w:r w:rsidRPr="00C038F4">
        <w:rPr>
          <w:rFonts w:ascii="Helvetica" w:hAnsi="Helvetica" w:cs="Arial"/>
          <w:noProof/>
          <w:sz w:val="20"/>
          <w:szCs w:val="22"/>
        </w:rPr>
        <w:t>e. SEQ ID Nr. 3;</w:t>
      </w:r>
    </w:p>
    <w:p w14:paraId="7F01EA03" w14:textId="77777777" w:rsidR="001F1991" w:rsidRPr="00C038F4" w:rsidRDefault="001F1991" w:rsidP="00C038F4">
      <w:pPr>
        <w:spacing w:line="360" w:lineRule="auto"/>
        <w:contextualSpacing/>
        <w:jc w:val="both"/>
        <w:rPr>
          <w:rFonts w:ascii="Helvetica" w:hAnsi="Helvetica" w:cs="Arial"/>
          <w:noProof/>
          <w:sz w:val="20"/>
          <w:szCs w:val="22"/>
        </w:rPr>
      </w:pPr>
      <w:r w:rsidRPr="00C038F4">
        <w:rPr>
          <w:rFonts w:ascii="Helvetica" w:hAnsi="Helvetica" w:cs="Arial"/>
          <w:noProof/>
          <w:sz w:val="20"/>
          <w:szCs w:val="22"/>
        </w:rPr>
        <w:t>f. SEQ ID Nr. 4;</w:t>
      </w:r>
    </w:p>
    <w:p w14:paraId="077B687C" w14:textId="77777777" w:rsidR="001F1991" w:rsidRPr="00C038F4" w:rsidRDefault="001F1991" w:rsidP="00C038F4">
      <w:pPr>
        <w:spacing w:line="360" w:lineRule="auto"/>
        <w:contextualSpacing/>
        <w:jc w:val="both"/>
        <w:rPr>
          <w:rFonts w:ascii="Helvetica" w:hAnsi="Helvetica" w:cs="Arial"/>
          <w:noProof/>
          <w:sz w:val="20"/>
          <w:szCs w:val="22"/>
        </w:rPr>
      </w:pPr>
      <w:r w:rsidRPr="00C038F4">
        <w:rPr>
          <w:rFonts w:ascii="Helvetica" w:hAnsi="Helvetica" w:cs="Arial"/>
          <w:noProof/>
          <w:sz w:val="20"/>
          <w:szCs w:val="22"/>
        </w:rPr>
        <w:t>g. polipeptido, užkoduoto polinukleotidu, kuris hibridizuojasi su SEQ ID Nr. 5, 6 arba 7 komplementu, labai griežtomis sąlygomis; ir</w:t>
      </w:r>
    </w:p>
    <w:p w14:paraId="24641D1D" w14:textId="77777777" w:rsidR="001F1991" w:rsidRPr="00C038F4" w:rsidRDefault="001F1991" w:rsidP="00C038F4">
      <w:pPr>
        <w:spacing w:line="360" w:lineRule="auto"/>
        <w:contextualSpacing/>
        <w:jc w:val="both"/>
        <w:rPr>
          <w:rFonts w:ascii="Helvetica" w:hAnsi="Helvetica" w:cs="Arial"/>
          <w:noProof/>
          <w:sz w:val="20"/>
          <w:szCs w:val="22"/>
        </w:rPr>
      </w:pPr>
      <w:r w:rsidRPr="00C038F4">
        <w:rPr>
          <w:rFonts w:ascii="Helvetica" w:hAnsi="Helvetica" w:cs="Arial"/>
          <w:noProof/>
          <w:sz w:val="20"/>
          <w:szCs w:val="22"/>
        </w:rPr>
        <w:t>h. bet kurio iš (c), (d), (e) arba (f) muteino, turinčio bent 80% arba 85%, arba 90% arba 95% sekos identiškumą polipeptidui (c), (d), (e) arba (f);</w:t>
      </w:r>
    </w:p>
    <w:p w14:paraId="24927C42" w14:textId="77777777" w:rsidR="00990DCA" w:rsidRPr="00C038F4" w:rsidRDefault="001F1991" w:rsidP="00C038F4">
      <w:pPr>
        <w:spacing w:line="360" w:lineRule="auto"/>
        <w:contextualSpacing/>
        <w:jc w:val="both"/>
        <w:rPr>
          <w:rFonts w:ascii="Helvetica" w:hAnsi="Helvetica" w:cs="Arial"/>
          <w:noProof/>
          <w:sz w:val="20"/>
          <w:szCs w:val="22"/>
        </w:rPr>
      </w:pPr>
      <w:r w:rsidRPr="00C038F4">
        <w:rPr>
          <w:rFonts w:ascii="Helvetica" w:hAnsi="Helvetica" w:cs="Arial"/>
          <w:noProof/>
          <w:sz w:val="20"/>
          <w:szCs w:val="22"/>
        </w:rPr>
        <w:t>kur polipeptidas susiriša su bent vienu iš Blys arba APRIL</w:t>
      </w:r>
      <w:r w:rsidR="00990DCA" w:rsidRPr="00C038F4">
        <w:rPr>
          <w:rFonts w:ascii="Helvetica" w:hAnsi="Helvetica" w:cs="Arial"/>
          <w:noProof/>
          <w:sz w:val="20"/>
          <w:szCs w:val="22"/>
        </w:rPr>
        <w:t>,</w:t>
      </w:r>
    </w:p>
    <w:p w14:paraId="1039B625" w14:textId="5095AF0F" w:rsidR="00990DCA" w:rsidRPr="00C038F4" w:rsidRDefault="00990DCA" w:rsidP="00C038F4">
      <w:pPr>
        <w:spacing w:line="360" w:lineRule="auto"/>
        <w:contextualSpacing/>
        <w:jc w:val="both"/>
        <w:rPr>
          <w:rFonts w:ascii="Helvetica" w:hAnsi="Helvetica" w:cs="Arial"/>
          <w:noProof/>
          <w:sz w:val="20"/>
          <w:szCs w:val="22"/>
        </w:rPr>
      </w:pPr>
      <w:r w:rsidRPr="00C038F4">
        <w:rPr>
          <w:rFonts w:ascii="Helvetica" w:hAnsi="Helvetica" w:cs="Arial"/>
          <w:noProof/>
          <w:sz w:val="20"/>
          <w:szCs w:val="22"/>
        </w:rPr>
        <w:t xml:space="preserve">ir kur </w:t>
      </w:r>
      <w:r w:rsidR="00DB4AF0" w:rsidRPr="00C038F4">
        <w:rPr>
          <w:rFonts w:ascii="Helvetica" w:hAnsi="Helvetica" w:cs="Arial"/>
          <w:noProof/>
          <w:sz w:val="20"/>
          <w:szCs w:val="22"/>
        </w:rPr>
        <w:t xml:space="preserve">Fc turintis baltymas apima </w:t>
      </w:r>
      <w:r w:rsidRPr="00C038F4">
        <w:rPr>
          <w:rFonts w:ascii="Helvetica" w:hAnsi="Helvetica" w:cs="Arial"/>
          <w:noProof/>
          <w:sz w:val="20"/>
          <w:szCs w:val="22"/>
        </w:rPr>
        <w:t>žmogaus</w:t>
      </w:r>
      <w:r w:rsidR="00DB4AF0" w:rsidRPr="00C038F4">
        <w:rPr>
          <w:rFonts w:ascii="Helvetica" w:hAnsi="Helvetica" w:cs="Arial"/>
          <w:noProof/>
          <w:sz w:val="20"/>
          <w:szCs w:val="22"/>
        </w:rPr>
        <w:t xml:space="preserve"> IgG</w:t>
      </w:r>
      <w:r w:rsidR="00DB4AF0" w:rsidRPr="00C038F4">
        <w:rPr>
          <w:rFonts w:ascii="Helvetica" w:hAnsi="Helvetica" w:cs="Arial"/>
          <w:noProof/>
          <w:sz w:val="20"/>
          <w:szCs w:val="22"/>
          <w:vertAlign w:val="subscript"/>
        </w:rPr>
        <w:t xml:space="preserve">1 </w:t>
      </w:r>
      <w:r w:rsidRPr="00C038F4">
        <w:rPr>
          <w:rFonts w:ascii="Helvetica" w:hAnsi="Helvetica" w:cs="Arial"/>
          <w:noProof/>
          <w:sz w:val="20"/>
          <w:szCs w:val="22"/>
        </w:rPr>
        <w:t>pastovi</w:t>
      </w:r>
      <w:r w:rsidR="00DB4AF0" w:rsidRPr="00C038F4">
        <w:rPr>
          <w:rFonts w:ascii="Helvetica" w:hAnsi="Helvetica" w:cs="Arial"/>
          <w:noProof/>
          <w:sz w:val="20"/>
          <w:szCs w:val="22"/>
        </w:rPr>
        <w:t xml:space="preserve">ąją </w:t>
      </w:r>
      <w:r w:rsidRPr="00C038F4">
        <w:rPr>
          <w:rFonts w:ascii="Helvetica" w:hAnsi="Helvetica" w:cs="Arial"/>
          <w:noProof/>
          <w:sz w:val="20"/>
          <w:szCs w:val="22"/>
        </w:rPr>
        <w:t>srit</w:t>
      </w:r>
      <w:r w:rsidR="00DB4AF0" w:rsidRPr="00C038F4">
        <w:rPr>
          <w:rFonts w:ascii="Helvetica" w:hAnsi="Helvetica" w:cs="Arial"/>
          <w:noProof/>
          <w:sz w:val="20"/>
          <w:szCs w:val="22"/>
        </w:rPr>
        <w:t>į.</w:t>
      </w:r>
    </w:p>
    <w:p w14:paraId="110D6008" w14:textId="1969A3E6" w:rsidR="00990DCA" w:rsidRPr="00C038F4" w:rsidRDefault="00990DCA" w:rsidP="00C038F4">
      <w:pPr>
        <w:spacing w:line="360" w:lineRule="auto"/>
        <w:contextualSpacing/>
        <w:jc w:val="both"/>
        <w:rPr>
          <w:rFonts w:ascii="Helvetica" w:hAnsi="Helvetica" w:cs="Arial"/>
          <w:noProof/>
          <w:sz w:val="20"/>
          <w:szCs w:val="22"/>
        </w:rPr>
      </w:pPr>
    </w:p>
    <w:p w14:paraId="1A93D990" w14:textId="0A8AA2EC" w:rsidR="00284525" w:rsidRPr="00C038F4" w:rsidRDefault="00284525" w:rsidP="00C038F4">
      <w:pPr>
        <w:spacing w:line="360" w:lineRule="auto"/>
        <w:ind w:firstLine="567"/>
        <w:contextualSpacing/>
        <w:jc w:val="both"/>
        <w:rPr>
          <w:rFonts w:ascii="Helvetica" w:hAnsi="Helvetica" w:cs="Arial"/>
          <w:noProof/>
          <w:sz w:val="20"/>
          <w:szCs w:val="22"/>
        </w:rPr>
      </w:pPr>
      <w:r w:rsidRPr="00C038F4">
        <w:rPr>
          <w:rFonts w:ascii="Helvetica" w:hAnsi="Helvetica" w:cs="Arial"/>
          <w:noProof/>
          <w:sz w:val="20"/>
          <w:szCs w:val="22"/>
        </w:rPr>
        <w:t xml:space="preserve">2. Būdas pagal 1 punktą, </w:t>
      </w:r>
      <w:r w:rsidR="00B8461F" w:rsidRPr="00C038F4">
        <w:rPr>
          <w:rFonts w:ascii="Helvetica" w:hAnsi="Helvetica" w:cs="Arial"/>
          <w:noProof/>
          <w:sz w:val="20"/>
          <w:szCs w:val="22"/>
        </w:rPr>
        <w:t>kur</w:t>
      </w:r>
      <w:r w:rsidRPr="00C038F4">
        <w:rPr>
          <w:rFonts w:ascii="Helvetica" w:hAnsi="Helvetica" w:cs="Arial"/>
          <w:noProof/>
          <w:sz w:val="20"/>
          <w:szCs w:val="22"/>
        </w:rPr>
        <w:t xml:space="preserve"> </w:t>
      </w:r>
      <w:r w:rsidR="00B8461F" w:rsidRPr="00C038F4">
        <w:rPr>
          <w:rFonts w:ascii="Helvetica" w:hAnsi="Helvetica" w:cs="Arial"/>
          <w:noProof/>
          <w:sz w:val="20"/>
          <w:szCs w:val="22"/>
        </w:rPr>
        <w:t>plovimo</w:t>
      </w:r>
      <w:r w:rsidRPr="00C038F4">
        <w:rPr>
          <w:rFonts w:ascii="Helvetica" w:hAnsi="Helvetica" w:cs="Arial"/>
          <w:noProof/>
          <w:sz w:val="20"/>
          <w:szCs w:val="22"/>
        </w:rPr>
        <w:t xml:space="preserve"> </w:t>
      </w:r>
      <w:r w:rsidR="00B8461F" w:rsidRPr="00C038F4">
        <w:rPr>
          <w:rFonts w:ascii="Helvetica" w:hAnsi="Helvetica" w:cs="Arial"/>
          <w:noProof/>
          <w:sz w:val="20"/>
          <w:szCs w:val="22"/>
        </w:rPr>
        <w:t>žingsnis</w:t>
      </w:r>
      <w:r w:rsidRPr="00C038F4">
        <w:rPr>
          <w:rFonts w:ascii="Helvetica" w:hAnsi="Helvetica" w:cs="Arial"/>
          <w:noProof/>
          <w:sz w:val="20"/>
          <w:szCs w:val="22"/>
        </w:rPr>
        <w:t xml:space="preserve"> atliekama</w:t>
      </w:r>
      <w:r w:rsidR="00B8461F" w:rsidRPr="00C038F4">
        <w:rPr>
          <w:rFonts w:ascii="Helvetica" w:hAnsi="Helvetica" w:cs="Arial"/>
          <w:noProof/>
          <w:sz w:val="20"/>
          <w:szCs w:val="22"/>
        </w:rPr>
        <w:t>s</w:t>
      </w:r>
      <w:r w:rsidRPr="00C038F4">
        <w:rPr>
          <w:rFonts w:ascii="Helvetica" w:hAnsi="Helvetica" w:cs="Arial"/>
          <w:noProof/>
          <w:sz w:val="20"/>
          <w:szCs w:val="22"/>
        </w:rPr>
        <w:t xml:space="preserve"> esant pH nuo 6,0 iki 7,0.</w:t>
      </w:r>
    </w:p>
    <w:p w14:paraId="4EAFC429" w14:textId="77777777" w:rsidR="00284525" w:rsidRPr="00C038F4" w:rsidRDefault="00284525" w:rsidP="00C038F4">
      <w:pPr>
        <w:spacing w:line="360" w:lineRule="auto"/>
        <w:contextualSpacing/>
        <w:jc w:val="both"/>
        <w:rPr>
          <w:rFonts w:ascii="Helvetica" w:hAnsi="Helvetica" w:cs="Arial"/>
          <w:noProof/>
          <w:sz w:val="20"/>
          <w:szCs w:val="22"/>
        </w:rPr>
      </w:pPr>
    </w:p>
    <w:p w14:paraId="350E2B1A" w14:textId="7944D01A" w:rsidR="00284525" w:rsidRPr="00C038F4" w:rsidRDefault="00284525" w:rsidP="00C038F4">
      <w:pPr>
        <w:spacing w:line="360" w:lineRule="auto"/>
        <w:ind w:firstLine="567"/>
        <w:contextualSpacing/>
        <w:jc w:val="both"/>
        <w:rPr>
          <w:rFonts w:ascii="Helvetica" w:hAnsi="Helvetica" w:cs="Arial"/>
          <w:noProof/>
          <w:sz w:val="20"/>
          <w:szCs w:val="22"/>
        </w:rPr>
      </w:pPr>
      <w:r w:rsidRPr="00C038F4">
        <w:rPr>
          <w:rFonts w:ascii="Helvetica" w:hAnsi="Helvetica" w:cs="Arial"/>
          <w:noProof/>
          <w:sz w:val="20"/>
          <w:szCs w:val="22"/>
        </w:rPr>
        <w:t xml:space="preserve">3. Būdas pagal 1 arba 2 punktą, </w:t>
      </w:r>
      <w:r w:rsidR="00784C7B" w:rsidRPr="00C038F4">
        <w:rPr>
          <w:rFonts w:ascii="Helvetica" w:hAnsi="Helvetica" w:cs="Arial"/>
          <w:noProof/>
          <w:sz w:val="20"/>
          <w:szCs w:val="22"/>
        </w:rPr>
        <w:t>kur</w:t>
      </w:r>
      <w:r w:rsidRPr="00C038F4">
        <w:rPr>
          <w:rFonts w:ascii="Helvetica" w:hAnsi="Helvetica" w:cs="Arial"/>
          <w:noProof/>
          <w:sz w:val="20"/>
          <w:szCs w:val="22"/>
        </w:rPr>
        <w:t xml:space="preserve"> plovimo </w:t>
      </w:r>
      <w:r w:rsidR="00784C7B" w:rsidRPr="00C038F4">
        <w:rPr>
          <w:rFonts w:ascii="Helvetica" w:hAnsi="Helvetica" w:cs="Arial"/>
          <w:noProof/>
          <w:sz w:val="20"/>
          <w:szCs w:val="22"/>
        </w:rPr>
        <w:t>žingsnis</w:t>
      </w:r>
      <w:r w:rsidRPr="00C038F4">
        <w:rPr>
          <w:rFonts w:ascii="Helvetica" w:hAnsi="Helvetica" w:cs="Arial"/>
          <w:noProof/>
          <w:sz w:val="20"/>
          <w:szCs w:val="22"/>
        </w:rPr>
        <w:t xml:space="preserve"> vykdoma</w:t>
      </w:r>
      <w:r w:rsidR="00784C7B" w:rsidRPr="00C038F4">
        <w:rPr>
          <w:rFonts w:ascii="Helvetica" w:hAnsi="Helvetica" w:cs="Arial"/>
          <w:noProof/>
          <w:sz w:val="20"/>
          <w:szCs w:val="22"/>
        </w:rPr>
        <w:t>s</w:t>
      </w:r>
      <w:r w:rsidRPr="00C038F4">
        <w:rPr>
          <w:rFonts w:ascii="Helvetica" w:hAnsi="Helvetica" w:cs="Arial"/>
          <w:noProof/>
          <w:sz w:val="20"/>
          <w:szCs w:val="22"/>
        </w:rPr>
        <w:t xml:space="preserve"> buferyje, </w:t>
      </w:r>
      <w:r w:rsidR="00784C7B" w:rsidRPr="00C038F4">
        <w:rPr>
          <w:rFonts w:ascii="Helvetica" w:hAnsi="Helvetica" w:cs="Arial"/>
          <w:noProof/>
          <w:sz w:val="20"/>
          <w:szCs w:val="22"/>
        </w:rPr>
        <w:t>apimančiame</w:t>
      </w:r>
      <w:r w:rsidRPr="00C038F4">
        <w:rPr>
          <w:rFonts w:ascii="Helvetica" w:hAnsi="Helvetica" w:cs="Arial"/>
          <w:noProof/>
          <w:sz w:val="20"/>
          <w:szCs w:val="22"/>
        </w:rPr>
        <w:t xml:space="preserve"> nuo 75 iki 125 mM natrio fosfato.</w:t>
      </w:r>
    </w:p>
    <w:p w14:paraId="09923252" w14:textId="77777777" w:rsidR="00284525" w:rsidRPr="00C038F4" w:rsidRDefault="00284525" w:rsidP="00C038F4">
      <w:pPr>
        <w:spacing w:line="360" w:lineRule="auto"/>
        <w:contextualSpacing/>
        <w:jc w:val="both"/>
        <w:rPr>
          <w:rFonts w:ascii="Helvetica" w:hAnsi="Helvetica" w:cs="Arial"/>
          <w:noProof/>
          <w:sz w:val="20"/>
          <w:szCs w:val="22"/>
        </w:rPr>
      </w:pPr>
    </w:p>
    <w:p w14:paraId="7B984A5A" w14:textId="142F3D28" w:rsidR="00284525" w:rsidRPr="00C038F4" w:rsidRDefault="00284525" w:rsidP="00C038F4">
      <w:pPr>
        <w:spacing w:line="360" w:lineRule="auto"/>
        <w:ind w:firstLine="567"/>
        <w:contextualSpacing/>
        <w:jc w:val="both"/>
        <w:rPr>
          <w:rFonts w:ascii="Helvetica" w:hAnsi="Helvetica" w:cs="Arial"/>
          <w:noProof/>
          <w:sz w:val="20"/>
          <w:szCs w:val="22"/>
        </w:rPr>
      </w:pPr>
      <w:r w:rsidRPr="00C038F4">
        <w:rPr>
          <w:rFonts w:ascii="Helvetica" w:hAnsi="Helvetica" w:cs="Arial"/>
          <w:noProof/>
          <w:sz w:val="20"/>
          <w:szCs w:val="22"/>
        </w:rPr>
        <w:t>4. Būdas pagal bet kurį iš ankstesnių punktų, apimantis</w:t>
      </w:r>
      <w:r w:rsidR="00DB4AF0" w:rsidRPr="00C038F4">
        <w:rPr>
          <w:rFonts w:ascii="Helvetica" w:hAnsi="Helvetica" w:cs="Arial"/>
          <w:noProof/>
          <w:sz w:val="20"/>
          <w:szCs w:val="22"/>
        </w:rPr>
        <w:t xml:space="preserve"> žingsnį</w:t>
      </w:r>
      <w:r w:rsidRPr="00C038F4">
        <w:rPr>
          <w:rFonts w:ascii="Helvetica" w:hAnsi="Helvetica" w:cs="Arial"/>
          <w:noProof/>
          <w:sz w:val="20"/>
          <w:szCs w:val="22"/>
        </w:rPr>
        <w:t>:</w:t>
      </w:r>
    </w:p>
    <w:p w14:paraId="71BB396F" w14:textId="49DB116C" w:rsidR="00E36EA7" w:rsidRPr="00C038F4" w:rsidRDefault="00284525" w:rsidP="00C038F4">
      <w:pPr>
        <w:spacing w:line="360" w:lineRule="auto"/>
        <w:contextualSpacing/>
        <w:jc w:val="both"/>
        <w:rPr>
          <w:rFonts w:ascii="Helvetica" w:hAnsi="Helvetica" w:cs="Arial"/>
          <w:noProof/>
          <w:sz w:val="20"/>
          <w:szCs w:val="22"/>
        </w:rPr>
      </w:pPr>
      <w:r w:rsidRPr="00C038F4">
        <w:rPr>
          <w:rFonts w:ascii="Helvetica" w:hAnsi="Helvetica" w:cs="Arial"/>
          <w:noProof/>
          <w:sz w:val="20"/>
          <w:szCs w:val="22"/>
        </w:rPr>
        <w:t>Fc turinčio baltymo eliuavim</w:t>
      </w:r>
      <w:r w:rsidR="00784C7B" w:rsidRPr="00C038F4">
        <w:rPr>
          <w:rFonts w:ascii="Helvetica" w:hAnsi="Helvetica" w:cs="Arial"/>
          <w:noProof/>
          <w:sz w:val="20"/>
          <w:szCs w:val="22"/>
        </w:rPr>
        <w:t>ą</w:t>
      </w:r>
      <w:r w:rsidRPr="00C038F4">
        <w:rPr>
          <w:rFonts w:ascii="Helvetica" w:hAnsi="Helvetica" w:cs="Arial"/>
          <w:noProof/>
          <w:sz w:val="20"/>
          <w:szCs w:val="22"/>
        </w:rPr>
        <w:t xml:space="preserve">, </w:t>
      </w:r>
      <w:r w:rsidR="00784C7B" w:rsidRPr="00C038F4">
        <w:rPr>
          <w:rFonts w:ascii="Helvetica" w:hAnsi="Helvetica" w:cs="Arial"/>
          <w:noProof/>
          <w:sz w:val="20"/>
          <w:szCs w:val="22"/>
        </w:rPr>
        <w:t>kai</w:t>
      </w:r>
      <w:r w:rsidRPr="00C038F4">
        <w:rPr>
          <w:rFonts w:ascii="Helvetica" w:hAnsi="Helvetica" w:cs="Arial"/>
          <w:noProof/>
          <w:sz w:val="20"/>
          <w:szCs w:val="22"/>
        </w:rPr>
        <w:t xml:space="preserve"> pH svyruoja nuo 7,0 iki 8,5, kur eliuvimo žingsnis atliekamas esant laidumui nuo 15 iki 22 mS</w:t>
      </w:r>
      <w:r w:rsidR="00784C7B" w:rsidRPr="00C038F4">
        <w:rPr>
          <w:rFonts w:ascii="Helvetica" w:hAnsi="Helvetica" w:cs="Arial"/>
          <w:noProof/>
          <w:sz w:val="20"/>
          <w:szCs w:val="22"/>
        </w:rPr>
        <w:t>/</w:t>
      </w:r>
      <w:r w:rsidRPr="00C038F4">
        <w:rPr>
          <w:rFonts w:ascii="Helvetica" w:hAnsi="Helvetica" w:cs="Arial"/>
          <w:noProof/>
          <w:sz w:val="20"/>
          <w:szCs w:val="22"/>
        </w:rPr>
        <w:t>cm.</w:t>
      </w:r>
    </w:p>
    <w:p w14:paraId="74383339" w14:textId="2B120D7D" w:rsidR="00784C7B" w:rsidRPr="00C038F4" w:rsidRDefault="00784C7B" w:rsidP="00C038F4">
      <w:pPr>
        <w:spacing w:line="360" w:lineRule="auto"/>
        <w:contextualSpacing/>
        <w:jc w:val="both"/>
        <w:rPr>
          <w:rFonts w:ascii="Helvetica" w:hAnsi="Helvetica" w:cs="Arial"/>
          <w:noProof/>
          <w:sz w:val="20"/>
          <w:szCs w:val="22"/>
        </w:rPr>
      </w:pPr>
    </w:p>
    <w:p w14:paraId="4A1C35BB" w14:textId="38D337BF" w:rsidR="00622E89" w:rsidRPr="00C038F4" w:rsidRDefault="00784C7B" w:rsidP="00C038F4">
      <w:pPr>
        <w:spacing w:line="360" w:lineRule="auto"/>
        <w:ind w:firstLine="567"/>
        <w:contextualSpacing/>
        <w:jc w:val="both"/>
        <w:rPr>
          <w:rFonts w:ascii="Helvetica" w:hAnsi="Helvetica" w:cs="Arial"/>
          <w:noProof/>
          <w:sz w:val="20"/>
          <w:szCs w:val="22"/>
        </w:rPr>
      </w:pPr>
      <w:r w:rsidRPr="00C038F4">
        <w:rPr>
          <w:rFonts w:ascii="Helvetica" w:hAnsi="Helvetica" w:cs="Arial"/>
          <w:noProof/>
          <w:sz w:val="20"/>
          <w:szCs w:val="22"/>
        </w:rPr>
        <w:t xml:space="preserve">5. </w:t>
      </w:r>
      <w:r w:rsidR="00622E89" w:rsidRPr="00C038F4">
        <w:rPr>
          <w:rFonts w:ascii="Helvetica" w:hAnsi="Helvetica" w:cs="Arial"/>
          <w:noProof/>
          <w:sz w:val="20"/>
          <w:szCs w:val="22"/>
        </w:rPr>
        <w:t>Būdas pagal bet kurį iš ankstesnių punktų, kur katijonų mainų chromatografija atliekama ant katijonų mainų dervos, apimančios SO</w:t>
      </w:r>
      <w:r w:rsidR="00622E89" w:rsidRPr="00C038F4">
        <w:rPr>
          <w:rFonts w:ascii="Helvetica" w:hAnsi="Helvetica" w:cs="Arial"/>
          <w:noProof/>
          <w:sz w:val="20"/>
          <w:szCs w:val="22"/>
          <w:vertAlign w:val="subscript"/>
        </w:rPr>
        <w:t>3</w:t>
      </w:r>
      <w:r w:rsidR="00622E89" w:rsidRPr="00C038F4">
        <w:rPr>
          <w:rFonts w:ascii="Helvetica" w:hAnsi="Helvetica" w:cs="Arial"/>
          <w:noProof/>
          <w:sz w:val="20"/>
          <w:szCs w:val="22"/>
          <w:vertAlign w:val="superscript"/>
        </w:rPr>
        <w:t>-</w:t>
      </w:r>
      <w:r w:rsidR="00622E89" w:rsidRPr="00C038F4">
        <w:rPr>
          <w:rFonts w:ascii="Helvetica" w:hAnsi="Helvetica" w:cs="Arial"/>
          <w:noProof/>
          <w:sz w:val="20"/>
          <w:szCs w:val="22"/>
        </w:rPr>
        <w:t xml:space="preserve"> grupes.</w:t>
      </w:r>
    </w:p>
    <w:p w14:paraId="75CE75CE" w14:textId="77777777" w:rsidR="00622E89" w:rsidRPr="00C038F4" w:rsidRDefault="00622E89" w:rsidP="00C038F4">
      <w:pPr>
        <w:spacing w:line="360" w:lineRule="auto"/>
        <w:contextualSpacing/>
        <w:jc w:val="both"/>
        <w:rPr>
          <w:rFonts w:ascii="Helvetica" w:hAnsi="Helvetica" w:cs="Arial"/>
          <w:noProof/>
          <w:sz w:val="20"/>
          <w:szCs w:val="22"/>
        </w:rPr>
      </w:pPr>
    </w:p>
    <w:p w14:paraId="37463322" w14:textId="38B09804" w:rsidR="00622E89" w:rsidRPr="00C038F4" w:rsidRDefault="00622E89" w:rsidP="00C038F4">
      <w:pPr>
        <w:spacing w:line="360" w:lineRule="auto"/>
        <w:ind w:firstLine="567"/>
        <w:contextualSpacing/>
        <w:jc w:val="both"/>
        <w:rPr>
          <w:rFonts w:ascii="Helvetica" w:hAnsi="Helvetica" w:cs="Arial"/>
          <w:noProof/>
          <w:sz w:val="20"/>
          <w:szCs w:val="22"/>
        </w:rPr>
      </w:pPr>
      <w:r w:rsidRPr="00C038F4">
        <w:rPr>
          <w:rFonts w:ascii="Helvetica" w:hAnsi="Helvetica" w:cs="Arial"/>
          <w:noProof/>
          <w:sz w:val="20"/>
          <w:szCs w:val="22"/>
        </w:rPr>
        <w:t xml:space="preserve">6. Būdas pagal 5 punktą, </w:t>
      </w:r>
      <w:r w:rsidR="006D1166" w:rsidRPr="00C038F4">
        <w:rPr>
          <w:rFonts w:ascii="Helvetica" w:hAnsi="Helvetica" w:cs="Arial"/>
          <w:noProof/>
          <w:sz w:val="20"/>
          <w:szCs w:val="22"/>
        </w:rPr>
        <w:t>kur</w:t>
      </w:r>
      <w:r w:rsidRPr="00C038F4">
        <w:rPr>
          <w:rFonts w:ascii="Helvetica" w:hAnsi="Helvetica" w:cs="Arial"/>
          <w:noProof/>
          <w:sz w:val="20"/>
          <w:szCs w:val="22"/>
        </w:rPr>
        <w:t xml:space="preserve"> derva apima </w:t>
      </w:r>
      <w:r w:rsidR="006D1166" w:rsidRPr="00C038F4">
        <w:rPr>
          <w:rFonts w:ascii="Helvetica" w:hAnsi="Helvetica" w:cs="Arial"/>
          <w:noProof/>
          <w:sz w:val="20"/>
          <w:szCs w:val="22"/>
        </w:rPr>
        <w:t xml:space="preserve">tinklinės struktūros </w:t>
      </w:r>
      <w:r w:rsidRPr="00C038F4">
        <w:rPr>
          <w:rFonts w:ascii="Helvetica" w:hAnsi="Helvetica" w:cs="Arial"/>
          <w:noProof/>
          <w:sz w:val="20"/>
          <w:szCs w:val="22"/>
        </w:rPr>
        <w:t>metakrilato matricą.</w:t>
      </w:r>
    </w:p>
    <w:p w14:paraId="332E95D5" w14:textId="77777777" w:rsidR="00622E89" w:rsidRPr="00C038F4" w:rsidRDefault="00622E89" w:rsidP="00C038F4">
      <w:pPr>
        <w:spacing w:line="360" w:lineRule="auto"/>
        <w:contextualSpacing/>
        <w:jc w:val="both"/>
        <w:rPr>
          <w:rFonts w:ascii="Helvetica" w:hAnsi="Helvetica" w:cs="Arial"/>
          <w:noProof/>
          <w:sz w:val="20"/>
          <w:szCs w:val="22"/>
        </w:rPr>
      </w:pPr>
    </w:p>
    <w:p w14:paraId="1B245DEB" w14:textId="59D39159" w:rsidR="00622E89" w:rsidRPr="00C038F4" w:rsidRDefault="00622E89" w:rsidP="00C038F4">
      <w:pPr>
        <w:spacing w:line="360" w:lineRule="auto"/>
        <w:ind w:firstLine="567"/>
        <w:contextualSpacing/>
        <w:jc w:val="both"/>
        <w:rPr>
          <w:rFonts w:ascii="Helvetica" w:hAnsi="Helvetica" w:cs="Arial"/>
          <w:noProof/>
          <w:sz w:val="20"/>
          <w:szCs w:val="22"/>
        </w:rPr>
      </w:pPr>
      <w:r w:rsidRPr="00C038F4">
        <w:rPr>
          <w:rFonts w:ascii="Helvetica" w:hAnsi="Helvetica" w:cs="Arial"/>
          <w:noProof/>
          <w:sz w:val="20"/>
          <w:szCs w:val="22"/>
        </w:rPr>
        <w:t xml:space="preserve">7. Būdas pagal bet kurį iš ankstesnių punktų, </w:t>
      </w:r>
      <w:r w:rsidR="006D1166" w:rsidRPr="00C038F4">
        <w:rPr>
          <w:rFonts w:ascii="Helvetica" w:hAnsi="Helvetica" w:cs="Arial"/>
          <w:noProof/>
          <w:sz w:val="20"/>
          <w:szCs w:val="22"/>
        </w:rPr>
        <w:t>papildomai</w:t>
      </w:r>
      <w:r w:rsidRPr="00C038F4">
        <w:rPr>
          <w:rFonts w:ascii="Helvetica" w:hAnsi="Helvetica" w:cs="Arial"/>
          <w:noProof/>
          <w:sz w:val="20"/>
          <w:szCs w:val="22"/>
        </w:rPr>
        <w:t xml:space="preserve"> apimantis gryninimo </w:t>
      </w:r>
      <w:r w:rsidR="006D1166" w:rsidRPr="00C038F4">
        <w:rPr>
          <w:rFonts w:ascii="Helvetica" w:hAnsi="Helvetica" w:cs="Arial"/>
          <w:noProof/>
          <w:sz w:val="20"/>
          <w:szCs w:val="22"/>
        </w:rPr>
        <w:t>žingsnį</w:t>
      </w:r>
      <w:r w:rsidRPr="00C038F4">
        <w:rPr>
          <w:rFonts w:ascii="Helvetica" w:hAnsi="Helvetica" w:cs="Arial"/>
          <w:noProof/>
          <w:sz w:val="20"/>
          <w:szCs w:val="22"/>
        </w:rPr>
        <w:t xml:space="preserve">, parinktą iš </w:t>
      </w:r>
      <w:r w:rsidR="006D1166" w:rsidRPr="00C038F4">
        <w:rPr>
          <w:rFonts w:ascii="Helvetica" w:hAnsi="Helvetica" w:cs="Arial"/>
          <w:noProof/>
          <w:sz w:val="20"/>
          <w:szCs w:val="22"/>
        </w:rPr>
        <w:t>giminingumo</w:t>
      </w:r>
      <w:r w:rsidRPr="00C038F4">
        <w:rPr>
          <w:rFonts w:ascii="Helvetica" w:hAnsi="Helvetica" w:cs="Arial"/>
          <w:noProof/>
          <w:sz w:val="20"/>
          <w:szCs w:val="22"/>
        </w:rPr>
        <w:t xml:space="preserve"> chromatografijos, anijonų mainų chromatografijos ir hidroksiapatito chromatografijos.</w:t>
      </w:r>
    </w:p>
    <w:p w14:paraId="5CB7F4B2" w14:textId="77777777" w:rsidR="00622E89" w:rsidRPr="00C038F4" w:rsidRDefault="00622E89" w:rsidP="00C038F4">
      <w:pPr>
        <w:spacing w:line="360" w:lineRule="auto"/>
        <w:contextualSpacing/>
        <w:jc w:val="both"/>
        <w:rPr>
          <w:rFonts w:ascii="Helvetica" w:hAnsi="Helvetica" w:cs="Arial"/>
          <w:noProof/>
          <w:sz w:val="20"/>
          <w:szCs w:val="22"/>
        </w:rPr>
      </w:pPr>
    </w:p>
    <w:p w14:paraId="75EDFA03" w14:textId="259424F3" w:rsidR="00E41CAD" w:rsidRPr="00C038F4" w:rsidRDefault="00622E89" w:rsidP="00C038F4">
      <w:pPr>
        <w:spacing w:line="360" w:lineRule="auto"/>
        <w:ind w:firstLine="567"/>
        <w:contextualSpacing/>
        <w:jc w:val="both"/>
        <w:rPr>
          <w:rFonts w:ascii="Helvetica" w:hAnsi="Helvetica" w:cs="Arial"/>
          <w:noProof/>
          <w:sz w:val="20"/>
          <w:szCs w:val="22"/>
        </w:rPr>
      </w:pPr>
      <w:r w:rsidRPr="00C038F4">
        <w:rPr>
          <w:rFonts w:ascii="Helvetica" w:hAnsi="Helvetica" w:cs="Arial"/>
          <w:noProof/>
          <w:sz w:val="20"/>
          <w:szCs w:val="22"/>
        </w:rPr>
        <w:t xml:space="preserve">8. </w:t>
      </w:r>
      <w:r w:rsidR="00E41CAD" w:rsidRPr="00C038F4">
        <w:rPr>
          <w:rFonts w:ascii="Helvetica" w:hAnsi="Helvetica" w:cs="Arial"/>
          <w:noProof/>
          <w:sz w:val="20"/>
          <w:szCs w:val="22"/>
        </w:rPr>
        <w:t xml:space="preserve">Būdas pagal bet kurį iš </w:t>
      </w:r>
      <w:r w:rsidR="00DB4AF0" w:rsidRPr="00C038F4">
        <w:rPr>
          <w:rFonts w:ascii="Helvetica" w:hAnsi="Helvetica" w:cs="Arial"/>
          <w:noProof/>
          <w:sz w:val="20"/>
          <w:szCs w:val="22"/>
        </w:rPr>
        <w:t>1 - 7</w:t>
      </w:r>
      <w:r w:rsidR="00E41CAD" w:rsidRPr="00C038F4">
        <w:rPr>
          <w:rFonts w:ascii="Helvetica" w:hAnsi="Helvetica" w:cs="Arial"/>
          <w:noProof/>
          <w:sz w:val="20"/>
          <w:szCs w:val="22"/>
        </w:rPr>
        <w:t xml:space="preserve"> punktų, kur pastovi</w:t>
      </w:r>
      <w:r w:rsidR="00473226" w:rsidRPr="00C038F4">
        <w:rPr>
          <w:rFonts w:ascii="Helvetica" w:hAnsi="Helvetica" w:cs="Arial"/>
          <w:noProof/>
          <w:sz w:val="20"/>
          <w:szCs w:val="22"/>
        </w:rPr>
        <w:t>oji</w:t>
      </w:r>
      <w:r w:rsidR="00E41CAD" w:rsidRPr="00C038F4">
        <w:rPr>
          <w:rFonts w:ascii="Helvetica" w:hAnsi="Helvetica" w:cs="Arial"/>
          <w:noProof/>
          <w:sz w:val="20"/>
          <w:szCs w:val="22"/>
        </w:rPr>
        <w:t xml:space="preserve"> sri</w:t>
      </w:r>
      <w:r w:rsidR="00473226" w:rsidRPr="00C038F4">
        <w:rPr>
          <w:rFonts w:ascii="Helvetica" w:hAnsi="Helvetica" w:cs="Arial"/>
          <w:noProof/>
          <w:sz w:val="20"/>
          <w:szCs w:val="22"/>
        </w:rPr>
        <w:t>tis apima</w:t>
      </w:r>
      <w:r w:rsidR="00E41CAD" w:rsidRPr="00C038F4">
        <w:rPr>
          <w:rFonts w:ascii="Helvetica" w:hAnsi="Helvetica" w:cs="Arial"/>
          <w:noProof/>
          <w:sz w:val="20"/>
          <w:szCs w:val="22"/>
        </w:rPr>
        <w:t xml:space="preserve"> CH2 ir CH3 domen</w:t>
      </w:r>
      <w:r w:rsidR="00473226" w:rsidRPr="00C038F4">
        <w:rPr>
          <w:rFonts w:ascii="Helvetica" w:hAnsi="Helvetica" w:cs="Arial"/>
          <w:noProof/>
          <w:sz w:val="20"/>
          <w:szCs w:val="22"/>
        </w:rPr>
        <w:t>u</w:t>
      </w:r>
      <w:r w:rsidR="00E41CAD" w:rsidRPr="00C038F4">
        <w:rPr>
          <w:rFonts w:ascii="Helvetica" w:hAnsi="Helvetica" w:cs="Arial"/>
          <w:noProof/>
          <w:sz w:val="20"/>
          <w:szCs w:val="22"/>
        </w:rPr>
        <w:t>s.</w:t>
      </w:r>
    </w:p>
    <w:sectPr w:rsidR="00E41CAD" w:rsidRPr="00C038F4" w:rsidSect="00C038F4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0630E" w14:textId="77777777" w:rsidR="00D915CD" w:rsidRDefault="00D915CD" w:rsidP="00C038F4">
      <w:pPr>
        <w:spacing w:line="240" w:lineRule="auto"/>
      </w:pPr>
      <w:r>
        <w:separator/>
      </w:r>
    </w:p>
  </w:endnote>
  <w:endnote w:type="continuationSeparator" w:id="0">
    <w:p w14:paraId="4DAE4254" w14:textId="77777777" w:rsidR="00D915CD" w:rsidRDefault="00D915CD" w:rsidP="00C038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F1CB9" w14:textId="77777777" w:rsidR="00D915CD" w:rsidRDefault="00D915CD" w:rsidP="00C038F4">
      <w:pPr>
        <w:spacing w:line="240" w:lineRule="auto"/>
      </w:pPr>
      <w:r>
        <w:separator/>
      </w:r>
    </w:p>
  </w:footnote>
  <w:footnote w:type="continuationSeparator" w:id="0">
    <w:p w14:paraId="4C3CBA9F" w14:textId="77777777" w:rsidR="00D915CD" w:rsidRDefault="00D915CD" w:rsidP="00C038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A2309"/>
    <w:rsid w:val="00024256"/>
    <w:rsid w:val="0003453E"/>
    <w:rsid w:val="0004244D"/>
    <w:rsid w:val="000531F1"/>
    <w:rsid w:val="00057782"/>
    <w:rsid w:val="00066BB0"/>
    <w:rsid w:val="000864BF"/>
    <w:rsid w:val="000A2309"/>
    <w:rsid w:val="000B473F"/>
    <w:rsid w:val="000C287B"/>
    <w:rsid w:val="000D1608"/>
    <w:rsid w:val="000D3AE1"/>
    <w:rsid w:val="000D4130"/>
    <w:rsid w:val="000D4BF8"/>
    <w:rsid w:val="000D5259"/>
    <w:rsid w:val="000D7709"/>
    <w:rsid w:val="001077CF"/>
    <w:rsid w:val="0013202D"/>
    <w:rsid w:val="00143C1B"/>
    <w:rsid w:val="001724AD"/>
    <w:rsid w:val="00176676"/>
    <w:rsid w:val="00177A2E"/>
    <w:rsid w:val="001A4F71"/>
    <w:rsid w:val="001B6984"/>
    <w:rsid w:val="001C060A"/>
    <w:rsid w:val="001D293A"/>
    <w:rsid w:val="001D5E9E"/>
    <w:rsid w:val="001E5222"/>
    <w:rsid w:val="001F1991"/>
    <w:rsid w:val="001F6429"/>
    <w:rsid w:val="001F6F3A"/>
    <w:rsid w:val="00206A4C"/>
    <w:rsid w:val="0021452F"/>
    <w:rsid w:val="0021780C"/>
    <w:rsid w:val="00226345"/>
    <w:rsid w:val="00235E73"/>
    <w:rsid w:val="0024134D"/>
    <w:rsid w:val="00251735"/>
    <w:rsid w:val="002633A4"/>
    <w:rsid w:val="002838E1"/>
    <w:rsid w:val="00283F6D"/>
    <w:rsid w:val="00284525"/>
    <w:rsid w:val="00292E24"/>
    <w:rsid w:val="00294E1D"/>
    <w:rsid w:val="00297F70"/>
    <w:rsid w:val="002D0461"/>
    <w:rsid w:val="002E6E2B"/>
    <w:rsid w:val="00315D80"/>
    <w:rsid w:val="0032597F"/>
    <w:rsid w:val="00332DF1"/>
    <w:rsid w:val="00337088"/>
    <w:rsid w:val="00341E92"/>
    <w:rsid w:val="00344362"/>
    <w:rsid w:val="00352E9A"/>
    <w:rsid w:val="00353599"/>
    <w:rsid w:val="0035454C"/>
    <w:rsid w:val="00362122"/>
    <w:rsid w:val="00373980"/>
    <w:rsid w:val="00393411"/>
    <w:rsid w:val="003956C2"/>
    <w:rsid w:val="003B03C2"/>
    <w:rsid w:val="003C2C41"/>
    <w:rsid w:val="004168CB"/>
    <w:rsid w:val="00417A65"/>
    <w:rsid w:val="00424628"/>
    <w:rsid w:val="004260B7"/>
    <w:rsid w:val="00453DA8"/>
    <w:rsid w:val="00456F8A"/>
    <w:rsid w:val="00461592"/>
    <w:rsid w:val="00463284"/>
    <w:rsid w:val="004700CF"/>
    <w:rsid w:val="00473226"/>
    <w:rsid w:val="004820EE"/>
    <w:rsid w:val="00497B24"/>
    <w:rsid w:val="004A2B2D"/>
    <w:rsid w:val="004A7A14"/>
    <w:rsid w:val="004B6B1E"/>
    <w:rsid w:val="004D0CC9"/>
    <w:rsid w:val="004D4977"/>
    <w:rsid w:val="004D59BF"/>
    <w:rsid w:val="004E0C74"/>
    <w:rsid w:val="004E1993"/>
    <w:rsid w:val="004F6490"/>
    <w:rsid w:val="00521877"/>
    <w:rsid w:val="00524B61"/>
    <w:rsid w:val="00524F53"/>
    <w:rsid w:val="005268C2"/>
    <w:rsid w:val="00530503"/>
    <w:rsid w:val="00543F41"/>
    <w:rsid w:val="005609F7"/>
    <w:rsid w:val="005643F0"/>
    <w:rsid w:val="00576041"/>
    <w:rsid w:val="0058134E"/>
    <w:rsid w:val="00595F81"/>
    <w:rsid w:val="005A7759"/>
    <w:rsid w:val="005B3352"/>
    <w:rsid w:val="005B522C"/>
    <w:rsid w:val="005D053F"/>
    <w:rsid w:val="005D1501"/>
    <w:rsid w:val="005E5262"/>
    <w:rsid w:val="00613BFE"/>
    <w:rsid w:val="00622E89"/>
    <w:rsid w:val="006316B3"/>
    <w:rsid w:val="006326E5"/>
    <w:rsid w:val="006408CE"/>
    <w:rsid w:val="00650BD6"/>
    <w:rsid w:val="006B7DF1"/>
    <w:rsid w:val="006C678D"/>
    <w:rsid w:val="006D1166"/>
    <w:rsid w:val="006E0A42"/>
    <w:rsid w:val="006F1A66"/>
    <w:rsid w:val="006F3FDB"/>
    <w:rsid w:val="00712D3F"/>
    <w:rsid w:val="007217C0"/>
    <w:rsid w:val="00722D69"/>
    <w:rsid w:val="0072422F"/>
    <w:rsid w:val="00725F5F"/>
    <w:rsid w:val="00737C5E"/>
    <w:rsid w:val="007504E2"/>
    <w:rsid w:val="007509FA"/>
    <w:rsid w:val="0077388B"/>
    <w:rsid w:val="00784C7B"/>
    <w:rsid w:val="007944D3"/>
    <w:rsid w:val="007C7A23"/>
    <w:rsid w:val="007D09DC"/>
    <w:rsid w:val="007D54D3"/>
    <w:rsid w:val="007D6B1A"/>
    <w:rsid w:val="008018EB"/>
    <w:rsid w:val="00823B40"/>
    <w:rsid w:val="00870562"/>
    <w:rsid w:val="00874D40"/>
    <w:rsid w:val="008A7E63"/>
    <w:rsid w:val="008C237A"/>
    <w:rsid w:val="008C3790"/>
    <w:rsid w:val="008F1846"/>
    <w:rsid w:val="00904375"/>
    <w:rsid w:val="009053E3"/>
    <w:rsid w:val="00913C33"/>
    <w:rsid w:val="00920687"/>
    <w:rsid w:val="00937F7B"/>
    <w:rsid w:val="00944731"/>
    <w:rsid w:val="00962BAA"/>
    <w:rsid w:val="00965113"/>
    <w:rsid w:val="00966C19"/>
    <w:rsid w:val="0097407F"/>
    <w:rsid w:val="00986045"/>
    <w:rsid w:val="0099061F"/>
    <w:rsid w:val="00990DCA"/>
    <w:rsid w:val="009A1A26"/>
    <w:rsid w:val="009A312B"/>
    <w:rsid w:val="009B55DC"/>
    <w:rsid w:val="009B5D82"/>
    <w:rsid w:val="009C6E81"/>
    <w:rsid w:val="009D524C"/>
    <w:rsid w:val="009D666D"/>
    <w:rsid w:val="009D7500"/>
    <w:rsid w:val="009E31D6"/>
    <w:rsid w:val="009F2FEB"/>
    <w:rsid w:val="00A06101"/>
    <w:rsid w:val="00A115AD"/>
    <w:rsid w:val="00A12B26"/>
    <w:rsid w:val="00A134F6"/>
    <w:rsid w:val="00A17517"/>
    <w:rsid w:val="00A24AF8"/>
    <w:rsid w:val="00A26B1E"/>
    <w:rsid w:val="00A35482"/>
    <w:rsid w:val="00A615DB"/>
    <w:rsid w:val="00A620B7"/>
    <w:rsid w:val="00A62EE7"/>
    <w:rsid w:val="00A64552"/>
    <w:rsid w:val="00A735A9"/>
    <w:rsid w:val="00AB18F2"/>
    <w:rsid w:val="00AC51DC"/>
    <w:rsid w:val="00AE1B21"/>
    <w:rsid w:val="00AF1B3D"/>
    <w:rsid w:val="00AF4F32"/>
    <w:rsid w:val="00AF575C"/>
    <w:rsid w:val="00B2009F"/>
    <w:rsid w:val="00B21329"/>
    <w:rsid w:val="00B222E7"/>
    <w:rsid w:val="00B23B4E"/>
    <w:rsid w:val="00B2532A"/>
    <w:rsid w:val="00B27AC7"/>
    <w:rsid w:val="00B7682F"/>
    <w:rsid w:val="00B8461F"/>
    <w:rsid w:val="00BA1F1C"/>
    <w:rsid w:val="00BA283D"/>
    <w:rsid w:val="00BD6ABC"/>
    <w:rsid w:val="00C038F4"/>
    <w:rsid w:val="00C06A36"/>
    <w:rsid w:val="00C12087"/>
    <w:rsid w:val="00C27479"/>
    <w:rsid w:val="00C33E64"/>
    <w:rsid w:val="00C428E8"/>
    <w:rsid w:val="00C50E43"/>
    <w:rsid w:val="00C9506E"/>
    <w:rsid w:val="00CA0F62"/>
    <w:rsid w:val="00CA6D2B"/>
    <w:rsid w:val="00CB4285"/>
    <w:rsid w:val="00CB6960"/>
    <w:rsid w:val="00CC1E12"/>
    <w:rsid w:val="00CE0011"/>
    <w:rsid w:val="00CE0AA7"/>
    <w:rsid w:val="00D00A6B"/>
    <w:rsid w:val="00D041C8"/>
    <w:rsid w:val="00D214F8"/>
    <w:rsid w:val="00D35601"/>
    <w:rsid w:val="00D37B86"/>
    <w:rsid w:val="00D470E5"/>
    <w:rsid w:val="00D52AB8"/>
    <w:rsid w:val="00D54C24"/>
    <w:rsid w:val="00D733C5"/>
    <w:rsid w:val="00D84B0D"/>
    <w:rsid w:val="00D915CD"/>
    <w:rsid w:val="00DA158E"/>
    <w:rsid w:val="00DA5C41"/>
    <w:rsid w:val="00DB4AF0"/>
    <w:rsid w:val="00DB6B3C"/>
    <w:rsid w:val="00E00666"/>
    <w:rsid w:val="00E207EA"/>
    <w:rsid w:val="00E36EA7"/>
    <w:rsid w:val="00E41CAD"/>
    <w:rsid w:val="00E811FC"/>
    <w:rsid w:val="00EA740A"/>
    <w:rsid w:val="00EB2890"/>
    <w:rsid w:val="00EB74C2"/>
    <w:rsid w:val="00EC68BB"/>
    <w:rsid w:val="00ED776D"/>
    <w:rsid w:val="00EE7FA0"/>
    <w:rsid w:val="00EF5CAA"/>
    <w:rsid w:val="00F034B4"/>
    <w:rsid w:val="00F0791A"/>
    <w:rsid w:val="00F17763"/>
    <w:rsid w:val="00F21618"/>
    <w:rsid w:val="00F256D7"/>
    <w:rsid w:val="00F37C39"/>
    <w:rsid w:val="00F51412"/>
    <w:rsid w:val="00F551D7"/>
    <w:rsid w:val="00F67447"/>
    <w:rsid w:val="00F83731"/>
    <w:rsid w:val="00F837D2"/>
    <w:rsid w:val="00F93A34"/>
    <w:rsid w:val="00FB20A7"/>
    <w:rsid w:val="00FB3565"/>
    <w:rsid w:val="00FC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BC2C5"/>
  <w15:chartTrackingRefBased/>
  <w15:docId w15:val="{947818B9-C616-4F60-BA84-22814CDE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DCA"/>
    <w:pPr>
      <w:spacing w:after="0"/>
    </w:pPr>
    <w:rPr>
      <w:rFonts w:ascii="Arial" w:eastAsia="Calibri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2C41"/>
    <w:rPr>
      <w:color w:val="808080"/>
    </w:rPr>
  </w:style>
  <w:style w:type="paragraph" w:styleId="ListParagraph">
    <w:name w:val="List Paragraph"/>
    <w:basedOn w:val="Normal"/>
    <w:uiPriority w:val="34"/>
    <w:qFormat/>
    <w:rsid w:val="001D5E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38F4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8F4"/>
    <w:rPr>
      <w:rFonts w:ascii="Arial" w:eastAsia="Calibri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38F4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8F4"/>
    <w:rPr>
      <w:rFonts w:ascii="Arial" w:eastAsia="Calibri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D07A4-F5A6-41D3-A21A-BADD7B1E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1920</Characters>
  <Application>Microsoft Office Word</Application>
  <DocSecurity>0</DocSecurity>
  <Lines>51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EP2061803</vt:lpstr>
    </vt:vector>
  </TitlesOfParts>
  <Company>AAA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EP2061803</dc:title>
  <dc:subject/>
  <dc:creator>AAA@aaabsc.onmicrosoft.com</dc:creator>
  <cp:keywords/>
  <dc:description/>
  <cp:lastModifiedBy>Raimonda Kvietkauskaitė</cp:lastModifiedBy>
  <cp:revision>2</cp:revision>
  <cp:lastPrinted>2022-12-22T13:54:00Z</cp:lastPrinted>
  <dcterms:created xsi:type="dcterms:W3CDTF">2022-12-27T06:55:00Z</dcterms:created>
  <dcterms:modified xsi:type="dcterms:W3CDTF">2022-12-27T06:55:00Z</dcterms:modified>
</cp:coreProperties>
</file>