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F8B9" w14:textId="77777777" w:rsidR="00791396" w:rsidRPr="00151C94" w:rsidRDefault="00B70727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916FD6" w:rsidRPr="00151C94">
        <w:rPr>
          <w:rFonts w:ascii="Helvetica" w:hAnsi="Helvetica" w:cs="Helvetica"/>
          <w:sz w:val="20"/>
          <w:szCs w:val="24"/>
          <w:lang w:val="lt-LT"/>
        </w:rPr>
        <w:t xml:space="preserve">Antigeną surišantis baltymas, kur </w:t>
      </w:r>
    </w:p>
    <w:p w14:paraId="0371E6EB" w14:textId="0ACE0D64" w:rsidR="0079139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(A) minėtas antigeną surišantis baltymas specifiškai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riš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asi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su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žmogaus PCSK9 ir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neutralizuoja tokiu būdu, kad minėto antigeną surišančio baltymo perteklius geba sumažinti PCSK9, surišto su LDLR, kiekį konkurenciniame surišimo tyrime </w:t>
      </w:r>
      <w:proofErr w:type="spellStart"/>
      <w:r w:rsidR="00E77B4B" w:rsidRPr="00151C94">
        <w:rPr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="00E77B4B" w:rsidRPr="00151C94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="00E77B4B" w:rsidRPr="00151C94">
        <w:rPr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="00E77B4B" w:rsidRPr="00151C94">
        <w:rPr>
          <w:rFonts w:ascii="Helvetica" w:hAnsi="Helvetica" w:cs="Helvetica"/>
          <w:sz w:val="20"/>
          <w:szCs w:val="24"/>
          <w:lang w:val="lt-LT"/>
        </w:rPr>
        <w:t>, kur minėtas antigeną surišantis baltymas apima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 xml:space="preserve"> arba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285B5072" w14:textId="77777777" w:rsidR="0079139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(i) </w:t>
      </w:r>
    </w:p>
    <w:p w14:paraId="2779E0BA" w14:textId="73C996C2" w:rsidR="00791396" w:rsidRPr="00151C94" w:rsidRDefault="0079139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(</w:t>
      </w:r>
      <w:r w:rsidR="00916FD6" w:rsidRPr="00151C94">
        <w:rPr>
          <w:rFonts w:ascii="Helvetica" w:hAnsi="Helvetica" w:cs="Helvetica"/>
          <w:sz w:val="20"/>
          <w:szCs w:val="24"/>
          <w:lang w:val="lt-LT"/>
        </w:rPr>
        <w:t>a) lengvosios grandinės kintamo domeno ir sunkiosios grandinės kintamo domeno derin</w:t>
      </w:r>
      <w:r w:rsidRPr="00151C94">
        <w:rPr>
          <w:rFonts w:ascii="Helvetica" w:hAnsi="Helvetica" w:cs="Helvetica"/>
          <w:sz w:val="20"/>
          <w:szCs w:val="24"/>
          <w:lang w:val="lt-LT"/>
        </w:rPr>
        <w:t>į</w:t>
      </w:r>
      <w:r w:rsidR="00916FD6" w:rsidRPr="00151C94">
        <w:rPr>
          <w:rFonts w:ascii="Helvetica" w:hAnsi="Helvetica" w:cs="Helvetica"/>
          <w:sz w:val="20"/>
          <w:szCs w:val="24"/>
          <w:lang w:val="lt-LT"/>
        </w:rPr>
        <w:t>, pa</w:t>
      </w:r>
      <w:r w:rsidRPr="00151C94">
        <w:rPr>
          <w:rFonts w:ascii="Helvetica" w:hAnsi="Helvetica" w:cs="Helvetica"/>
          <w:sz w:val="20"/>
          <w:szCs w:val="24"/>
          <w:lang w:val="lt-LT"/>
        </w:rPr>
        <w:t>si</w:t>
      </w:r>
      <w:r w:rsidR="00916FD6" w:rsidRPr="00151C94">
        <w:rPr>
          <w:rFonts w:ascii="Helvetica" w:hAnsi="Helvetica" w:cs="Helvetica"/>
          <w:sz w:val="20"/>
          <w:szCs w:val="24"/>
          <w:lang w:val="lt-LT"/>
        </w:rPr>
        <w:t>rinkt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ą</w:t>
      </w:r>
      <w:r w:rsidR="00916FD6" w:rsidRPr="00151C94">
        <w:rPr>
          <w:rFonts w:ascii="Helvetica" w:hAnsi="Helvetica" w:cs="Helvetica"/>
          <w:sz w:val="20"/>
          <w:szCs w:val="24"/>
          <w:lang w:val="lt-LT"/>
        </w:rPr>
        <w:t xml:space="preserve"> iš derinių grupės, kurią sudaro: </w:t>
      </w:r>
    </w:p>
    <w:p w14:paraId="3E7C54D4" w14:textId="096F5DC6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lengvosios grandinės kintam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as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as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kurio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sek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a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yra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mažiausiai 90 % identišk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9, ir sunkiosios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71;</w:t>
      </w:r>
    </w:p>
    <w:p w14:paraId="42CF1F2F" w14:textId="46C8204C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10, ir sunkiosios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72;</w:t>
      </w:r>
    </w:p>
    <w:p w14:paraId="1EEC2392" w14:textId="55EBAA12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12, ir sunkiosios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67;</w:t>
      </w:r>
    </w:p>
    <w:p w14:paraId="641D552E" w14:textId="386446AF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16, ir sunkiosios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52;</w:t>
      </w:r>
    </w:p>
    <w:p w14:paraId="5459A7F1" w14:textId="00908443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 xml:space="preserve">kintamas domenas, kurio seka yra mažiausiai 90 % identiška sekai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SEQ ID Nr. 17, ir sunkiosios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51;</w:t>
      </w:r>
    </w:p>
    <w:p w14:paraId="0E8CA76A" w14:textId="73B60AFD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20, ir sunkiosios grandinės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 xml:space="preserve"> 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54;</w:t>
      </w:r>
    </w:p>
    <w:p w14:paraId="44FF3F56" w14:textId="47FA7900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791396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21,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55;</w:t>
      </w:r>
    </w:p>
    <w:p w14:paraId="0F2D9811" w14:textId="5CB5F7A4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22,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56;</w:t>
      </w:r>
    </w:p>
    <w:p w14:paraId="632F8523" w14:textId="1F8669D1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23,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49;</w:t>
      </w:r>
    </w:p>
    <w:p w14:paraId="31137C10" w14:textId="6960E032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24,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57;</w:t>
      </w:r>
    </w:p>
    <w:p w14:paraId="538B3E50" w14:textId="1710E63E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26,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50;</w:t>
      </w:r>
    </w:p>
    <w:p w14:paraId="1FE26E5D" w14:textId="52D47E6F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30,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64;</w:t>
      </w:r>
    </w:p>
    <w:p w14:paraId="4CB09D75" w14:textId="61CA5664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31,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62;</w:t>
      </w:r>
    </w:p>
    <w:p w14:paraId="2E9569C5" w14:textId="0AA743AA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33,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65;</w:t>
      </w:r>
    </w:p>
    <w:p w14:paraId="3507835C" w14:textId="7DF9D61E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35,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79;</w:t>
      </w:r>
    </w:p>
    <w:p w14:paraId="7C471D43" w14:textId="3788A55A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36,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80;</w:t>
      </w:r>
    </w:p>
    <w:p w14:paraId="4F3A800F" w14:textId="71E70F5B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37,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76;</w:t>
      </w:r>
    </w:p>
    <w:p w14:paraId="124FAEDF" w14:textId="1B25B41A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38,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77;</w:t>
      </w:r>
    </w:p>
    <w:p w14:paraId="15F45850" w14:textId="3DB3BBB9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lastRenderedPageBreak/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39,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78;</w:t>
      </w:r>
    </w:p>
    <w:p w14:paraId="59ECAA7C" w14:textId="3D8E0BE2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lengvosios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40, ir sunkiosios grandinės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kintamas domenas,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83;</w:t>
      </w:r>
    </w:p>
    <w:p w14:paraId="67554471" w14:textId="77777777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(ii)</w:t>
      </w:r>
    </w:p>
    <w:p w14:paraId="4D2F8462" w14:textId="5D9077F8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(a) CDRH1,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308, CDRH2,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175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,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ir CDRH3,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180; arba</w:t>
      </w:r>
    </w:p>
    <w:p w14:paraId="5D6D5E25" w14:textId="1F9B9875" w:rsidR="00E77B4B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(b) CDRH1,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368, CDRH2,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175, ir CDRH3,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180; ir </w:t>
      </w:r>
    </w:p>
    <w:p w14:paraId="32F67B92" w14:textId="5646B8C4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CDRL1,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158, CDRL2,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>162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>, ir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CDRL3,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395; arba</w:t>
      </w:r>
    </w:p>
    <w:p w14:paraId="34EF4CF5" w14:textId="46B4EB9E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(iii) CDRH1,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368, CDRH2,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174, ir CDRH3,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</w:t>
      </w:r>
      <w:r w:rsidR="00E77B4B" w:rsidRPr="00151C94">
        <w:rPr>
          <w:rFonts w:ascii="Helvetica" w:hAnsi="Helvetica" w:cs="Helvetica"/>
          <w:sz w:val="20"/>
          <w:szCs w:val="24"/>
          <w:lang w:val="lt-LT"/>
        </w:rPr>
        <w:t xml:space="preserve">Nr.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180, ir CDRL1,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158, CDRL2,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162, ir CDRL3, 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>apimančią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164</w:t>
      </w:r>
      <w:r w:rsidR="00847B81" w:rsidRPr="00151C94">
        <w:rPr>
          <w:rFonts w:ascii="Helvetica" w:hAnsi="Helvetica" w:cs="Helvetica"/>
          <w:sz w:val="20"/>
          <w:szCs w:val="24"/>
          <w:lang w:val="lt-LT"/>
        </w:rPr>
        <w:t>,</w:t>
      </w:r>
    </w:p>
    <w:p w14:paraId="5B682054" w14:textId="77777777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arba</w:t>
      </w:r>
    </w:p>
    <w:p w14:paraId="44AD21BD" w14:textId="77777777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(B) minėtas antigeną surišantis baltymas apima lengvosios grandinės kintamą domeną, apimantį aminorūgščių seką SEQ ID Nr. 23, ir sunkiosios grandinės kintamą domeną, apimantį aminorūgščių seką SEQ ID Nr. 49.</w:t>
      </w:r>
    </w:p>
    <w:p w14:paraId="30627F66" w14:textId="77777777" w:rsidR="008C70ED" w:rsidRPr="00151C94" w:rsidRDefault="008C70ED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E7F546C" w14:textId="01B34C31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2.</w:t>
      </w:r>
      <w:r w:rsidR="008C70ED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Antigeną surišantis baltymas pagal 1(A)(i) punktą, apimantis lengvosios grandinės kintamo domeno ir sunkiosios grandinės kintamo domeno derinį, kur lengvosios grandinės kintamas domenas ir sunkiosios grandinės kintamasis domenas yra </w:t>
      </w:r>
      <w:r w:rsidR="00992AE8" w:rsidRPr="00151C94">
        <w:rPr>
          <w:rFonts w:ascii="Helvetica" w:hAnsi="Helvetica" w:cs="Helvetica"/>
          <w:sz w:val="20"/>
          <w:szCs w:val="24"/>
          <w:lang w:val="lt-LT"/>
        </w:rPr>
        <w:t>pasirinkt</w:t>
      </w:r>
      <w:r w:rsidRPr="00151C94">
        <w:rPr>
          <w:rFonts w:ascii="Helvetica" w:hAnsi="Helvetica" w:cs="Helvetica"/>
          <w:sz w:val="20"/>
          <w:szCs w:val="24"/>
          <w:lang w:val="lt-LT"/>
        </w:rPr>
        <w:t>i iš derinių grupės, susidedančios iš: lengvosios grandinės kintam</w:t>
      </w:r>
      <w:r w:rsidR="00780C49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780C49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780C49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10, ir sunkiosios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780C49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72; lengvosios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12, ir sunkiosios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67; lengvosios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17, ir sunkiosios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51; lengvosios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23, ir sunkiosios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49; lengvosios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,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 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35, ir sunkiosios grandinės kintam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280BEF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yra mažiausiai 90 % identiška sekai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79; kur antigeną surišantis baltymas specifiškai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rišasi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prie PCSK9.</w:t>
      </w:r>
    </w:p>
    <w:p w14:paraId="1CB425D5" w14:textId="77777777" w:rsidR="00804887" w:rsidRPr="00151C94" w:rsidRDefault="00804887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C18B4F8" w14:textId="792626D7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3.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Antigeną surišantis baltymas pagal 2 punktą, kur lengvosios grandinės kintamas domenas ir sunkiosios grandinės kintamas domenas yra </w:t>
      </w:r>
      <w:r w:rsidR="00992AE8" w:rsidRPr="00151C94">
        <w:rPr>
          <w:rFonts w:ascii="Helvetica" w:hAnsi="Helvetica" w:cs="Helvetica"/>
          <w:sz w:val="20"/>
          <w:szCs w:val="24"/>
          <w:lang w:val="lt-LT"/>
        </w:rPr>
        <w:t>pasirinkt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i iš derinių grupės, susidedančios iš: lengvosios grandinės kintamo domeno, kurio seka pateikta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kaip </w:t>
      </w:r>
      <w:r w:rsidRPr="00151C94">
        <w:rPr>
          <w:rFonts w:ascii="Helvetica" w:hAnsi="Helvetica" w:cs="Helvetica"/>
          <w:sz w:val="20"/>
          <w:szCs w:val="24"/>
          <w:lang w:val="lt-LT"/>
        </w:rPr>
        <w:t>SEQ ID Nr. 10, ir sunkiosios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72; lengvosios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12, ir sunkiosios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67; lengvosios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17, ir sunkiosios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51; lengvosios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23, ir sunkiosios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49; lengvosios grandinės 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35, ir sunkiosios grandinės </w:t>
      </w:r>
      <w:r w:rsidRPr="00151C94">
        <w:rPr>
          <w:rFonts w:ascii="Helvetica" w:hAnsi="Helvetica" w:cs="Helvetica"/>
          <w:sz w:val="20"/>
          <w:szCs w:val="24"/>
          <w:lang w:val="lt-LT"/>
        </w:rPr>
        <w:lastRenderedPageBreak/>
        <w:t>kintam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domen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kurio seka pateikta kaip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79; kur antigeną surišantis baltymas specifiškai 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>rišasi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prie PCSK9.</w:t>
      </w:r>
    </w:p>
    <w:p w14:paraId="546A6FED" w14:textId="77777777" w:rsidR="00804887" w:rsidRPr="00151C94" w:rsidRDefault="00804887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2AFA768" w14:textId="58DFE625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4.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Antigeną surišantis baltymas pagal 1(A)(ii) punktą, apimantis lengvosios grandinės kintamą domeną, apimantį aminorūgščių seką SEQ ID Nr. 23, ir sunkiosios grandinės kintamą domeną, apimantį aminorūgščių seką SEQ ID Nr. 49.</w:t>
      </w:r>
    </w:p>
    <w:p w14:paraId="59CE294B" w14:textId="77777777" w:rsidR="00804887" w:rsidRPr="00151C94" w:rsidRDefault="00804887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AC825E6" w14:textId="07839429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5.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Antigeną surišantis baltymas pagal 1(A)(iii) punktą, apimantis lengvosios grandinės kintamą domeną, apimantį aminorūgščių seką SEQ ID Nr. 17, ir sunkiosios grandinės kintamą domeną, apimantį aminorūgščių seką SEQ ID Nr. 51.</w:t>
      </w:r>
    </w:p>
    <w:p w14:paraId="36472B36" w14:textId="77777777" w:rsidR="00804887" w:rsidRPr="00151C94" w:rsidRDefault="00804887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E1F60B" w14:textId="458600D9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6.</w:t>
      </w:r>
      <w:r w:rsidR="00804887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Antigeną surišantis baltymas pagal bet kurį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iš 1, 3-5 punktų, papildomai apimantis:</w:t>
      </w:r>
    </w:p>
    <w:p w14:paraId="0DA8B108" w14:textId="395EAE95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(a) lengvosios grandinės pastovią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ją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seką SEQ ID Nr. 156;</w:t>
      </w:r>
    </w:p>
    <w:p w14:paraId="1B9C39C1" w14:textId="1C25C783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(b) lengvosios grandinės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pastoviąją seką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157;</w:t>
      </w:r>
    </w:p>
    <w:p w14:paraId="53605D48" w14:textId="382EA74A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(c) sunkiosios grandinės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pastoviąją seką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154; arba</w:t>
      </w:r>
    </w:p>
    <w:p w14:paraId="32E76787" w14:textId="266FA501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(d) sunkiosios grandinės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pastoviąją seką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SEQ ID Nr. 155.</w:t>
      </w:r>
    </w:p>
    <w:p w14:paraId="0DD4DCC7" w14:textId="77777777" w:rsidR="00FD5356" w:rsidRPr="00151C94" w:rsidRDefault="00FD535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B43B5C6" w14:textId="2EC5FD5F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7.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Antigeną surišantis baltymas pagal bet kurį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iš ankstesnių punktų, kur antikūnas arba jo fragmentas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,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arba antigeną surišantis baltymas turi bent vieną iš šių charakteristikų:</w:t>
      </w:r>
    </w:p>
    <w:p w14:paraId="6FA179F1" w14:textId="037CBBD1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a)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rišasi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prie PCSK9 varianto,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kuriame yra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D374Y tašk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inė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mutaciją;</w:t>
      </w:r>
    </w:p>
    <w:p w14:paraId="20D00D10" w14:textId="1A42CF67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(b) yra </w:t>
      </w:r>
      <w:r w:rsidR="00992AE8" w:rsidRPr="00151C94">
        <w:rPr>
          <w:rFonts w:ascii="Helvetica" w:hAnsi="Helvetica" w:cs="Helvetica"/>
          <w:sz w:val="20"/>
          <w:szCs w:val="24"/>
          <w:lang w:val="lt-LT"/>
        </w:rPr>
        <w:t>pasirinkt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as iš grupės, susidedančios iš žmogaus antikūno, humanizuoto antikūno, chimerinio antikūno,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monokloninio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antikūno,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daugiaspecifinio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antikūno,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rekombinantinio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antikūno, antigeną surišančio antikūno fragmento, vienos grandinės antikūno,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diakūno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Fab</w:t>
      </w:r>
      <w:proofErr w:type="spellEnd"/>
      <w:r w:rsidR="004016FA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fragment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, F(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ab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)</w:t>
      </w:r>
      <w:r w:rsidRPr="00151C94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fragment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, IgG1 antikūn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, IgG2 antikūn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, IgG3 antikūn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ir IgG4 antikūn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>;</w:t>
      </w:r>
    </w:p>
    <w:p w14:paraId="6891D1B0" w14:textId="71323A38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(c)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rišasi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prie PCSK9,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kai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K</w:t>
      </w:r>
      <w:r w:rsidRPr="00151C94">
        <w:rPr>
          <w:rFonts w:ascii="Helvetica" w:hAnsi="Helvetica" w:cs="Helvetica"/>
          <w:sz w:val="20"/>
          <w:szCs w:val="24"/>
          <w:vertAlign w:val="subscript"/>
          <w:lang w:val="lt-LT"/>
        </w:rPr>
        <w:t>d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yra mažes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nė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ne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gu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1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nM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, mažesn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ne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gu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100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pM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, mažesn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ne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gu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10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pM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arba mažesn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ne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gu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5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pM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; arba</w:t>
      </w:r>
    </w:p>
    <w:p w14:paraId="3D263397" w14:textId="405D1034" w:rsidR="00916FD6" w:rsidRPr="00151C94" w:rsidRDefault="00916FD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 xml:space="preserve">(d) gali blokuoti D374Y PCSK9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rišimąsi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prie LDLR, kai IC</w:t>
      </w:r>
      <w:r w:rsidRPr="00151C94">
        <w:rPr>
          <w:rFonts w:ascii="Helvetica" w:hAnsi="Helvetica" w:cs="Helvetica"/>
          <w:sz w:val="20"/>
          <w:szCs w:val="24"/>
          <w:vertAlign w:val="subscript"/>
          <w:lang w:val="lt-LT"/>
        </w:rPr>
        <w:t>50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yra mažesn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ė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ne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gu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200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pM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2DF391DA" w14:textId="77777777" w:rsidR="00FD5356" w:rsidRPr="00151C94" w:rsidRDefault="00FD535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4360829" w14:textId="20D1884B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8.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Nukleorūgštis, koduojanti antigeną surišantį baltymą pagal bet kurį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151C94">
        <w:rPr>
          <w:rFonts w:ascii="Helvetica" w:hAnsi="Helvetica" w:cs="Helvetica"/>
          <w:sz w:val="20"/>
          <w:szCs w:val="24"/>
          <w:lang w:val="lt-LT"/>
        </w:rPr>
        <w:t>iš ankstesnių punktų.</w:t>
      </w:r>
    </w:p>
    <w:p w14:paraId="7D7743F0" w14:textId="77777777" w:rsidR="00FD5356" w:rsidRPr="00151C94" w:rsidRDefault="00FD535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29445FC" w14:textId="74571407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9.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Antigeną surišančio baltymo pagal bet kurį 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151C94">
        <w:rPr>
          <w:rFonts w:ascii="Helvetica" w:hAnsi="Helvetica" w:cs="Helvetica"/>
          <w:sz w:val="20"/>
          <w:szCs w:val="24"/>
          <w:lang w:val="lt-LT"/>
        </w:rPr>
        <w:t>iš 1-7 punktų ga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>mybos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būdas, apimantis minėto antigeną surišančio baltymo gavimo iš ląstelės šeimininkės, kuri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vykdo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minėt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antigeną surišan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čio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baltym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o sekreciją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pakopą</w:t>
      </w:r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33C5985F" w14:textId="77777777" w:rsidR="00FD5356" w:rsidRPr="00151C94" w:rsidRDefault="00FD5356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BCA5B09" w14:textId="076419B5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10.</w:t>
      </w:r>
      <w:r w:rsidR="00FD5356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Būdas pagal 9 punktą, kur ląstelė šeimininkė yra </w:t>
      </w:r>
      <w:r w:rsidR="00992AE8" w:rsidRPr="00151C94">
        <w:rPr>
          <w:rFonts w:ascii="Helvetica" w:hAnsi="Helvetica" w:cs="Helvetica"/>
          <w:sz w:val="20"/>
          <w:szCs w:val="24"/>
          <w:lang w:val="lt-LT"/>
        </w:rPr>
        <w:t>pasirinkt</w:t>
      </w:r>
      <w:r w:rsidRPr="00151C94">
        <w:rPr>
          <w:rFonts w:ascii="Helvetica" w:hAnsi="Helvetica" w:cs="Helvetica"/>
          <w:sz w:val="20"/>
          <w:szCs w:val="24"/>
          <w:lang w:val="lt-LT"/>
        </w:rPr>
        <w:t>a iš grupės, susidedančios iš kininio žiurkėn</w:t>
      </w:r>
      <w:r w:rsidR="004016FA" w:rsidRPr="00151C94">
        <w:rPr>
          <w:rFonts w:ascii="Helvetica" w:hAnsi="Helvetica" w:cs="Helvetica"/>
          <w:sz w:val="20"/>
          <w:szCs w:val="24"/>
          <w:lang w:val="lt-LT"/>
        </w:rPr>
        <w:t>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kiaušidžių (CHO) ląstelių,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HeLa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ląstelių,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naujagimio žiurkėno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inkstų (BHK) ląstelių, beždžion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ės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inkstų ląstelių (COS), žmogaus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kepenų ląstelių karcinomos </w:t>
      </w:r>
      <w:r w:rsidRPr="00151C94">
        <w:rPr>
          <w:rFonts w:ascii="Helvetica" w:hAnsi="Helvetica" w:cs="Helvetica"/>
          <w:sz w:val="20"/>
          <w:szCs w:val="24"/>
          <w:lang w:val="lt-LT"/>
        </w:rPr>
        <w:t>ląstelių ir žmogaus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inkstų epitelio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ląstel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ių 293</w:t>
      </w:r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1D40A137" w14:textId="77777777" w:rsidR="008B2DD8" w:rsidRPr="00151C94" w:rsidRDefault="008B2DD8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7D64D68" w14:textId="5346683D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11.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Farmacinė kompozicija, apimanti mažiausiai vieną antigeną surišantį baltymą pagal bet kurį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iš 1-7 punktų ir farmaciniu požiūriu priimtiną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pagalbinę medžiagą</w:t>
      </w:r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2A3B2645" w14:textId="77777777" w:rsidR="008B2DD8" w:rsidRPr="00151C94" w:rsidRDefault="008B2DD8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885CEF5" w14:textId="7E741FCD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12.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Farmacinė kompozicija pagal 11 punktą, kur farmacinė kompozicija yra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įvedama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prieš mažiausiai vieno kito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kio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terapinio agento įvedimą, 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vienu metu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su juo arba po jo, kur pasirinktinai kit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>ok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s terapinis agentas yra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statinas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2F15165F" w14:textId="77777777" w:rsidR="008B2DD8" w:rsidRPr="00151C94" w:rsidRDefault="008B2DD8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958DAA8" w14:textId="17B2C49D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13.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Rinkinys, skirtas su cholesteroliu susijusių sutrikimų gydymui, apimantis kompoziciją pagal 11 arba 12 punktą.</w:t>
      </w:r>
    </w:p>
    <w:p w14:paraId="1B87B7AF" w14:textId="77777777" w:rsidR="008B2DD8" w:rsidRPr="00151C94" w:rsidRDefault="008B2DD8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1A648F1" w14:textId="5ED0F9E0" w:rsidR="00916FD6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14.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>Antigeną surišantis baltymas pagal bet kurį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iš 1-7 punktų, skirtas panaudoti gydant arba užkertant kelią būklei, susijusiai su padidėjusiu cholesterolio kiekiu</w:t>
      </w:r>
      <w:r w:rsidR="004016FA" w:rsidRPr="00151C94">
        <w:rPr>
          <w:rFonts w:ascii="Helvetica" w:hAnsi="Helvetica" w:cs="Helvetica"/>
          <w:sz w:val="20"/>
          <w:szCs w:val="24"/>
          <w:lang w:val="lt-LT"/>
        </w:rPr>
        <w:t xml:space="preserve"> subjekto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2873C8" w:rsidRPr="00151C94">
        <w:rPr>
          <w:rFonts w:ascii="Helvetica" w:hAnsi="Helvetica" w:cs="Helvetica"/>
          <w:sz w:val="20"/>
          <w:szCs w:val="24"/>
          <w:lang w:val="lt-LT"/>
        </w:rPr>
        <w:t>organizme</w:t>
      </w:r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1B32480E" w14:textId="77777777" w:rsidR="008B2DD8" w:rsidRPr="00151C94" w:rsidRDefault="008B2DD8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95A5DA9" w14:textId="0DFABE7C" w:rsidR="006031C5" w:rsidRPr="00151C94" w:rsidRDefault="00916FD6" w:rsidP="00151C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51C94">
        <w:rPr>
          <w:rFonts w:ascii="Helvetica" w:hAnsi="Helvetica" w:cs="Helvetica"/>
          <w:sz w:val="20"/>
          <w:szCs w:val="24"/>
          <w:lang w:val="lt-LT"/>
        </w:rPr>
        <w:t>15.</w:t>
      </w:r>
      <w:r w:rsidR="008B2DD8" w:rsidRPr="00151C94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Antigeną surišantis baltymas, skirtas panaudoti pagal 14 punktą, kur būklė yra </w:t>
      </w:r>
      <w:r w:rsidR="00992AE8" w:rsidRPr="00151C94">
        <w:rPr>
          <w:rFonts w:ascii="Helvetica" w:hAnsi="Helvetica" w:cs="Helvetica"/>
          <w:sz w:val="20"/>
          <w:szCs w:val="24"/>
          <w:lang w:val="lt-LT"/>
        </w:rPr>
        <w:t>pasirinkt</w:t>
      </w:r>
      <w:r w:rsidRPr="00151C94">
        <w:rPr>
          <w:rFonts w:ascii="Helvetica" w:hAnsi="Helvetica" w:cs="Helvetica"/>
          <w:sz w:val="20"/>
          <w:szCs w:val="24"/>
          <w:lang w:val="lt-LT"/>
        </w:rPr>
        <w:t xml:space="preserve">a iš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hipercholesterolemijos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, širdies ir kraujagyslių ligos,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metabolinio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 xml:space="preserve"> sindromo, diabeto, insulto ir </w:t>
      </w:r>
      <w:proofErr w:type="spellStart"/>
      <w:r w:rsidRPr="00151C94">
        <w:rPr>
          <w:rFonts w:ascii="Helvetica" w:hAnsi="Helvetica" w:cs="Helvetica"/>
          <w:sz w:val="20"/>
          <w:szCs w:val="24"/>
          <w:lang w:val="lt-LT"/>
        </w:rPr>
        <w:t>dislipidemijos</w:t>
      </w:r>
      <w:proofErr w:type="spellEnd"/>
      <w:r w:rsidRPr="00151C94">
        <w:rPr>
          <w:rFonts w:ascii="Helvetica" w:hAnsi="Helvetica" w:cs="Helvetica"/>
          <w:sz w:val="20"/>
          <w:szCs w:val="24"/>
          <w:lang w:val="lt-LT"/>
        </w:rPr>
        <w:t>.</w:t>
      </w:r>
    </w:p>
    <w:p w14:paraId="4E288138" w14:textId="77777777" w:rsidR="00683CBB" w:rsidRPr="00151C94" w:rsidRDefault="00683CBB" w:rsidP="00151C94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683CBB" w:rsidRPr="00151C94" w:rsidSect="00151C9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DD34" w14:textId="77777777" w:rsidR="00E8015A" w:rsidRDefault="00E8015A" w:rsidP="007B0A41">
      <w:pPr>
        <w:spacing w:after="0" w:line="240" w:lineRule="auto"/>
      </w:pPr>
      <w:r>
        <w:separator/>
      </w:r>
    </w:p>
  </w:endnote>
  <w:endnote w:type="continuationSeparator" w:id="0">
    <w:p w14:paraId="5EAEA6FA" w14:textId="77777777" w:rsidR="00E8015A" w:rsidRDefault="00E8015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3BD4" w14:textId="77777777" w:rsidR="00E8015A" w:rsidRDefault="00E8015A" w:rsidP="007B0A41">
      <w:pPr>
        <w:spacing w:after="0" w:line="240" w:lineRule="auto"/>
      </w:pPr>
      <w:r>
        <w:separator/>
      </w:r>
    </w:p>
  </w:footnote>
  <w:footnote w:type="continuationSeparator" w:id="0">
    <w:p w14:paraId="6D007563" w14:textId="77777777" w:rsidR="00E8015A" w:rsidRDefault="00E8015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7684"/>
    <w:rsid w:val="000F1D6A"/>
    <w:rsid w:val="00120AC9"/>
    <w:rsid w:val="001308ED"/>
    <w:rsid w:val="0013504A"/>
    <w:rsid w:val="001427C4"/>
    <w:rsid w:val="00151C94"/>
    <w:rsid w:val="001668DF"/>
    <w:rsid w:val="00192F10"/>
    <w:rsid w:val="001A3B18"/>
    <w:rsid w:val="001A3E8E"/>
    <w:rsid w:val="001C33D1"/>
    <w:rsid w:val="001F266E"/>
    <w:rsid w:val="00223910"/>
    <w:rsid w:val="0022707B"/>
    <w:rsid w:val="00234E11"/>
    <w:rsid w:val="00253760"/>
    <w:rsid w:val="00255E54"/>
    <w:rsid w:val="00260D4E"/>
    <w:rsid w:val="00262076"/>
    <w:rsid w:val="00280BEF"/>
    <w:rsid w:val="002837FC"/>
    <w:rsid w:val="002873C8"/>
    <w:rsid w:val="002B66D9"/>
    <w:rsid w:val="002E0F37"/>
    <w:rsid w:val="00316FB7"/>
    <w:rsid w:val="00352F90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016FA"/>
    <w:rsid w:val="00412B35"/>
    <w:rsid w:val="00416928"/>
    <w:rsid w:val="00431822"/>
    <w:rsid w:val="00443029"/>
    <w:rsid w:val="0044384C"/>
    <w:rsid w:val="00473C8D"/>
    <w:rsid w:val="00473E17"/>
    <w:rsid w:val="004848DE"/>
    <w:rsid w:val="004A11D8"/>
    <w:rsid w:val="004C1469"/>
    <w:rsid w:val="004F2C25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14DD6"/>
    <w:rsid w:val="007752B9"/>
    <w:rsid w:val="007760A8"/>
    <w:rsid w:val="00780C49"/>
    <w:rsid w:val="00790202"/>
    <w:rsid w:val="00791396"/>
    <w:rsid w:val="00795D58"/>
    <w:rsid w:val="007A3CB1"/>
    <w:rsid w:val="007A4B6F"/>
    <w:rsid w:val="007B0A41"/>
    <w:rsid w:val="007C0A0D"/>
    <w:rsid w:val="007C60FE"/>
    <w:rsid w:val="007E2261"/>
    <w:rsid w:val="00804887"/>
    <w:rsid w:val="00805EE6"/>
    <w:rsid w:val="00806BE5"/>
    <w:rsid w:val="0082278C"/>
    <w:rsid w:val="008309E7"/>
    <w:rsid w:val="008321FA"/>
    <w:rsid w:val="00837B1E"/>
    <w:rsid w:val="00847B81"/>
    <w:rsid w:val="00847DA0"/>
    <w:rsid w:val="00864E7D"/>
    <w:rsid w:val="00886FF4"/>
    <w:rsid w:val="008A7B6E"/>
    <w:rsid w:val="008B2DD8"/>
    <w:rsid w:val="008B41AC"/>
    <w:rsid w:val="008C60D6"/>
    <w:rsid w:val="008C70ED"/>
    <w:rsid w:val="008E0E9E"/>
    <w:rsid w:val="0090596D"/>
    <w:rsid w:val="00907FD8"/>
    <w:rsid w:val="00916FD6"/>
    <w:rsid w:val="0093370F"/>
    <w:rsid w:val="00947ACD"/>
    <w:rsid w:val="009520D8"/>
    <w:rsid w:val="00963C86"/>
    <w:rsid w:val="00971B8A"/>
    <w:rsid w:val="009766FA"/>
    <w:rsid w:val="0098532A"/>
    <w:rsid w:val="00992879"/>
    <w:rsid w:val="00992AE8"/>
    <w:rsid w:val="009B138F"/>
    <w:rsid w:val="009B2E35"/>
    <w:rsid w:val="009B6C12"/>
    <w:rsid w:val="009E1482"/>
    <w:rsid w:val="00A02F0C"/>
    <w:rsid w:val="00A22BBD"/>
    <w:rsid w:val="00A250D5"/>
    <w:rsid w:val="00A3340C"/>
    <w:rsid w:val="00A4282B"/>
    <w:rsid w:val="00A51B6C"/>
    <w:rsid w:val="00A534B9"/>
    <w:rsid w:val="00A7382D"/>
    <w:rsid w:val="00AA3A1F"/>
    <w:rsid w:val="00AB3E81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B1D48"/>
    <w:rsid w:val="00BC1496"/>
    <w:rsid w:val="00BC3B7B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77B4B"/>
    <w:rsid w:val="00E8015A"/>
    <w:rsid w:val="00E91AE0"/>
    <w:rsid w:val="00EB1EE5"/>
    <w:rsid w:val="00EB6F08"/>
    <w:rsid w:val="00ED04B0"/>
    <w:rsid w:val="00F01CE8"/>
    <w:rsid w:val="00F14F53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9216</Characters>
  <Application>Microsoft Office Word</Application>
  <DocSecurity>0</DocSecurity>
  <Lines>148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2023-09-29T14:43:00Z</dcterms:created>
  <dcterms:modified xsi:type="dcterms:W3CDTF">2023-10-09T06:36:00Z</dcterms:modified>
</cp:coreProperties>
</file>