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C75D2" w14:textId="77777777" w:rsidR="000F5E9B" w:rsidRDefault="00BF578E" w:rsidP="00BF578E">
      <w:pPr>
        <w:spacing w:after="0" w:line="360" w:lineRule="auto"/>
        <w:ind w:firstLine="567"/>
        <w:jc w:val="both"/>
        <w:rPr>
          <w:rFonts w:ascii="Helvetica" w:hAnsi="Helvetica"/>
          <w:sz w:val="20"/>
          <w:szCs w:val="24"/>
        </w:rPr>
      </w:pPr>
      <w:r w:rsidRPr="00BF578E">
        <w:rPr>
          <w:rFonts w:ascii="Helvetica" w:hAnsi="Helvetica"/>
          <w:sz w:val="20"/>
          <w:szCs w:val="24"/>
        </w:rPr>
        <w:t xml:space="preserve">1. Paliperidono palmitatas, skirtas panaudoti psichiatrinių pacientų gydymui pagal dozavimo režimą, apimantį: </w:t>
      </w:r>
    </w:p>
    <w:p w14:paraId="2BC9D185" w14:textId="77777777" w:rsidR="000F5E9B" w:rsidRDefault="00BF578E" w:rsidP="000F5E9B">
      <w:pPr>
        <w:spacing w:after="0" w:line="360" w:lineRule="auto"/>
        <w:jc w:val="both"/>
        <w:rPr>
          <w:rFonts w:ascii="Helvetica" w:hAnsi="Helvetica"/>
          <w:sz w:val="20"/>
          <w:szCs w:val="24"/>
        </w:rPr>
      </w:pPr>
      <w:r w:rsidRPr="00BF578E">
        <w:rPr>
          <w:rFonts w:ascii="Helvetica" w:hAnsi="Helvetica"/>
          <w:sz w:val="20"/>
          <w:szCs w:val="24"/>
        </w:rPr>
        <w:t xml:space="preserve">(1) švirkščiant į raumenis deltinėje srityje pacientui, kuriam reikalingas gydymas, pirmąją maždaug 150 mg-ekv. paliperidono, kaip paliperidono palmitato, įsotinamąją dozę, sukomponuotą pailginto atpalaidavimo kompozicijoje, pirmąją gydymo dieną; </w:t>
      </w:r>
    </w:p>
    <w:p w14:paraId="2211C0DB" w14:textId="77777777" w:rsidR="000F5E9B" w:rsidRDefault="00BF578E" w:rsidP="000F5E9B">
      <w:pPr>
        <w:spacing w:after="0" w:line="360" w:lineRule="auto"/>
        <w:jc w:val="both"/>
        <w:rPr>
          <w:rFonts w:ascii="Helvetica" w:hAnsi="Helvetica"/>
          <w:sz w:val="20"/>
          <w:szCs w:val="24"/>
        </w:rPr>
      </w:pPr>
      <w:r w:rsidRPr="00BF578E">
        <w:rPr>
          <w:rFonts w:ascii="Helvetica" w:hAnsi="Helvetica"/>
          <w:sz w:val="20"/>
          <w:szCs w:val="24"/>
        </w:rPr>
        <w:t xml:space="preserve">(2) švirkščiant į raumenis, į deltinį raumenį, pacientui, kuriam reikalingas gydymas, antrąją maždaug 100 mg-ekv. paliperidono, kaip paliperidono palmitato, įsotinamąją dozę, sukomponuotą pailginto atpalaidavimo kompozicijoje, aštuntąją gydymo dieną; ir </w:t>
      </w:r>
    </w:p>
    <w:p w14:paraId="32F06F76" w14:textId="77777777" w:rsidR="000E73BC" w:rsidRDefault="00BF578E" w:rsidP="000F5E9B">
      <w:pPr>
        <w:spacing w:after="0" w:line="360" w:lineRule="auto"/>
        <w:jc w:val="both"/>
        <w:rPr>
          <w:rFonts w:ascii="Helvetica" w:hAnsi="Helvetica"/>
          <w:sz w:val="20"/>
          <w:szCs w:val="24"/>
        </w:rPr>
      </w:pPr>
      <w:r w:rsidRPr="00BF578E">
        <w:rPr>
          <w:rFonts w:ascii="Helvetica" w:hAnsi="Helvetica"/>
          <w:sz w:val="20"/>
          <w:szCs w:val="24"/>
        </w:rPr>
        <w:t xml:space="preserve">(3) švirkščiant į raumenis, į deltinį arba sėdmens raumenį, pacientui, kuriam reikalingas gydymas, palaikomąją nuo maždaug 25 mg-ekv. iki maždaug 150 mg-ekv. paliperidono, kaip paliperidono palmitato, dozę, pailginto atpalaidavimo kompozicijoje, 36-ąją gydymo dieną; ir </w:t>
      </w:r>
    </w:p>
    <w:p w14:paraId="4372C1CE" w14:textId="532AFB1D" w:rsidR="00BF578E" w:rsidRPr="00BF578E" w:rsidRDefault="00BF578E" w:rsidP="000F5E9B">
      <w:pPr>
        <w:spacing w:after="0" w:line="360" w:lineRule="auto"/>
        <w:jc w:val="both"/>
        <w:rPr>
          <w:rFonts w:ascii="Helvetica" w:hAnsi="Helvetica"/>
          <w:sz w:val="20"/>
          <w:szCs w:val="24"/>
        </w:rPr>
      </w:pPr>
      <w:r w:rsidRPr="00BF578E">
        <w:rPr>
          <w:rFonts w:ascii="Helvetica" w:hAnsi="Helvetica"/>
          <w:sz w:val="20"/>
          <w:szCs w:val="24"/>
        </w:rPr>
        <w:t xml:space="preserve">kur pailginto atpalaidavimo kompozicija yra vandeninė nanodalelių suspensija. </w:t>
      </w:r>
    </w:p>
    <w:p w14:paraId="2314A95A" w14:textId="77777777" w:rsidR="00BF578E" w:rsidRPr="00BF578E" w:rsidRDefault="00BF578E" w:rsidP="00BF578E">
      <w:pPr>
        <w:spacing w:after="0" w:line="360" w:lineRule="auto"/>
        <w:jc w:val="both"/>
        <w:rPr>
          <w:rFonts w:ascii="Helvetica" w:hAnsi="Helvetica"/>
          <w:sz w:val="20"/>
          <w:szCs w:val="24"/>
        </w:rPr>
      </w:pPr>
    </w:p>
    <w:p w14:paraId="4ECAA4B1" w14:textId="77777777" w:rsidR="000E73BC" w:rsidRDefault="00BF578E" w:rsidP="00BF578E">
      <w:pPr>
        <w:spacing w:after="0" w:line="360" w:lineRule="auto"/>
        <w:ind w:firstLine="567"/>
        <w:jc w:val="both"/>
        <w:rPr>
          <w:rFonts w:ascii="Helvetica" w:hAnsi="Helvetica"/>
          <w:sz w:val="20"/>
          <w:szCs w:val="24"/>
        </w:rPr>
      </w:pPr>
      <w:r w:rsidRPr="00BF578E">
        <w:rPr>
          <w:rFonts w:ascii="Helvetica" w:hAnsi="Helvetica"/>
          <w:sz w:val="20"/>
          <w:szCs w:val="24"/>
        </w:rPr>
        <w:t xml:space="preserve">2. Paliperidono palmitatas, skirtas panaudoti psichiatrinių pacientų gydymui pagal dozavimo režimą, apimantį: </w:t>
      </w:r>
    </w:p>
    <w:p w14:paraId="59FB5F07" w14:textId="77777777" w:rsidR="007E1842" w:rsidRDefault="00BF578E" w:rsidP="000E73BC">
      <w:pPr>
        <w:spacing w:after="0" w:line="360" w:lineRule="auto"/>
        <w:jc w:val="both"/>
        <w:rPr>
          <w:rFonts w:ascii="Helvetica" w:hAnsi="Helvetica"/>
          <w:sz w:val="20"/>
          <w:szCs w:val="24"/>
        </w:rPr>
      </w:pPr>
      <w:r w:rsidRPr="00BF578E">
        <w:rPr>
          <w:rFonts w:ascii="Helvetica" w:hAnsi="Helvetica"/>
          <w:sz w:val="20"/>
          <w:szCs w:val="24"/>
        </w:rPr>
        <w:t xml:space="preserve">(a) švirkščiant į raumenis deltinėje srityje pacientui, kuriam reikalingas gydymas, pirmąją maždaug 150 mg-ekv. paliperidono, kaip paliperidono palmitato, įsotinamąją dozę, sukomponuotą pailginto atpalaidavimo kompozicijoje, pirmąją gydymo dieną; </w:t>
      </w:r>
    </w:p>
    <w:p w14:paraId="20811017" w14:textId="77777777" w:rsidR="007E1842" w:rsidRDefault="00BF578E" w:rsidP="000E73BC">
      <w:pPr>
        <w:spacing w:after="0" w:line="360" w:lineRule="auto"/>
        <w:jc w:val="both"/>
        <w:rPr>
          <w:rFonts w:ascii="Helvetica" w:hAnsi="Helvetica"/>
          <w:sz w:val="20"/>
          <w:szCs w:val="24"/>
        </w:rPr>
      </w:pPr>
      <w:r w:rsidRPr="00BF578E">
        <w:rPr>
          <w:rFonts w:ascii="Helvetica" w:hAnsi="Helvetica"/>
          <w:sz w:val="20"/>
          <w:szCs w:val="24"/>
        </w:rPr>
        <w:t xml:space="preserve">(b) švirkščiant į raumenis, į deltinį raumenį pacientui, kuriam reikalingas gydymas, palaikomąją maždaug 100 mg-ekv. paliperidono, kaip paliperidono palmitato, dozę, sukomponuotą pailginto atpalaidavimo kompozicijoje, aštuntąją gydymo dieną; ir </w:t>
      </w:r>
    </w:p>
    <w:p w14:paraId="3A94C092" w14:textId="1B7988C8" w:rsidR="00BF578E" w:rsidRPr="00BF578E" w:rsidRDefault="00BF578E" w:rsidP="000E73BC">
      <w:pPr>
        <w:spacing w:after="0" w:line="360" w:lineRule="auto"/>
        <w:jc w:val="both"/>
        <w:rPr>
          <w:rFonts w:ascii="Helvetica" w:hAnsi="Helvetica"/>
          <w:sz w:val="20"/>
          <w:szCs w:val="24"/>
        </w:rPr>
      </w:pPr>
      <w:r w:rsidRPr="00BF578E">
        <w:rPr>
          <w:rFonts w:ascii="Helvetica" w:hAnsi="Helvetica"/>
          <w:sz w:val="20"/>
          <w:szCs w:val="24"/>
        </w:rPr>
        <w:t xml:space="preserve">(c) švirkščiant į raumenis, į deltinį arba sėdmens raumenį, pacientui, kuriam reikalingas gydymas, palaikomąją nuo maždaug 25 mg-ekv. iki maždaug 100 mg-ekv. paliperidono, kaip paliperidono palmitato, dozę, pailginto atpalaidavimo kompozicijoje, 36-ąją gydymo dieną; ir kur pailginto atpalaidavimo kompozicija yra vandeninė nanodalelių suspensija. </w:t>
      </w:r>
    </w:p>
    <w:p w14:paraId="2CB3F547" w14:textId="77777777" w:rsidR="00BF578E" w:rsidRPr="00BF578E" w:rsidRDefault="00BF578E" w:rsidP="00BF578E">
      <w:pPr>
        <w:spacing w:after="0" w:line="360" w:lineRule="auto"/>
        <w:jc w:val="both"/>
        <w:rPr>
          <w:rFonts w:ascii="Helvetica" w:hAnsi="Helvetica"/>
          <w:sz w:val="20"/>
          <w:szCs w:val="24"/>
        </w:rPr>
      </w:pPr>
    </w:p>
    <w:p w14:paraId="2C65812F" w14:textId="77777777" w:rsidR="00BF578E" w:rsidRPr="00BF578E" w:rsidRDefault="00BF578E" w:rsidP="00BF578E">
      <w:pPr>
        <w:spacing w:after="0" w:line="360" w:lineRule="auto"/>
        <w:ind w:firstLine="567"/>
        <w:jc w:val="both"/>
        <w:rPr>
          <w:rFonts w:ascii="Helvetica" w:hAnsi="Helvetica"/>
          <w:sz w:val="20"/>
          <w:szCs w:val="24"/>
        </w:rPr>
      </w:pPr>
      <w:r w:rsidRPr="00BF578E">
        <w:rPr>
          <w:rFonts w:ascii="Helvetica" w:hAnsi="Helvetica"/>
          <w:sz w:val="20"/>
          <w:szCs w:val="24"/>
        </w:rPr>
        <w:t xml:space="preserve">3. Paliperidono palmitatas, skirtas panaudoti pagal 1 punktą arba 2 punktą, kur psichiatrijos pacientui reikalingas psichozės gydymas. </w:t>
      </w:r>
    </w:p>
    <w:p w14:paraId="6EE94E6C" w14:textId="77777777" w:rsidR="00BF578E" w:rsidRPr="00BF578E" w:rsidRDefault="00BF578E" w:rsidP="00BF578E">
      <w:pPr>
        <w:spacing w:after="0" w:line="360" w:lineRule="auto"/>
        <w:jc w:val="both"/>
        <w:rPr>
          <w:rFonts w:ascii="Helvetica" w:hAnsi="Helvetica"/>
          <w:sz w:val="20"/>
          <w:szCs w:val="24"/>
        </w:rPr>
      </w:pPr>
    </w:p>
    <w:p w14:paraId="4B0F1E21" w14:textId="77777777" w:rsidR="00BF578E" w:rsidRPr="00BF578E" w:rsidRDefault="00BF578E" w:rsidP="00BF578E">
      <w:pPr>
        <w:spacing w:after="0" w:line="360" w:lineRule="auto"/>
        <w:ind w:firstLine="567"/>
        <w:jc w:val="both"/>
        <w:rPr>
          <w:rFonts w:ascii="Helvetica" w:hAnsi="Helvetica"/>
          <w:sz w:val="20"/>
          <w:szCs w:val="24"/>
        </w:rPr>
      </w:pPr>
      <w:r w:rsidRPr="00BF578E">
        <w:rPr>
          <w:rFonts w:ascii="Helvetica" w:hAnsi="Helvetica"/>
          <w:sz w:val="20"/>
          <w:szCs w:val="24"/>
        </w:rPr>
        <w:t xml:space="preserve">4. Paliperidono palmitatas, skirtas panaudoti pagal 1 punktą arba 2 punktą, kur psichiatrijos pacientui reikalingas šizofrenijos gydymas. </w:t>
      </w:r>
    </w:p>
    <w:p w14:paraId="1064F132" w14:textId="77777777" w:rsidR="00BF578E" w:rsidRPr="00BF578E" w:rsidRDefault="00BF578E" w:rsidP="00BF578E">
      <w:pPr>
        <w:spacing w:after="0" w:line="360" w:lineRule="auto"/>
        <w:jc w:val="both"/>
        <w:rPr>
          <w:rFonts w:ascii="Helvetica" w:hAnsi="Helvetica"/>
          <w:sz w:val="20"/>
          <w:szCs w:val="24"/>
        </w:rPr>
      </w:pPr>
    </w:p>
    <w:p w14:paraId="288A21BD" w14:textId="77777777" w:rsidR="00BF578E" w:rsidRPr="00BF578E" w:rsidRDefault="00BF578E" w:rsidP="00BF578E">
      <w:pPr>
        <w:spacing w:after="0" w:line="360" w:lineRule="auto"/>
        <w:ind w:firstLine="567"/>
        <w:jc w:val="both"/>
        <w:rPr>
          <w:rFonts w:ascii="Helvetica" w:hAnsi="Helvetica"/>
          <w:sz w:val="20"/>
          <w:szCs w:val="24"/>
        </w:rPr>
      </w:pPr>
      <w:r w:rsidRPr="00BF578E">
        <w:rPr>
          <w:rFonts w:ascii="Helvetica" w:hAnsi="Helvetica"/>
          <w:sz w:val="20"/>
          <w:szCs w:val="24"/>
        </w:rPr>
        <w:t xml:space="preserve">5. Paliperidono palmitatas, skirtas panaudoti pagal 1 punktą arba 2 punktą, kur psichiatrijos pacientui reikalingas bipolinio sutrikimo gydymas. </w:t>
      </w:r>
    </w:p>
    <w:p w14:paraId="0096A5E5" w14:textId="77777777" w:rsidR="00BF578E" w:rsidRPr="00BF578E" w:rsidRDefault="00BF578E" w:rsidP="00BF578E">
      <w:pPr>
        <w:spacing w:after="0" w:line="360" w:lineRule="auto"/>
        <w:jc w:val="both"/>
        <w:rPr>
          <w:rFonts w:ascii="Helvetica" w:hAnsi="Helvetica"/>
          <w:sz w:val="20"/>
          <w:szCs w:val="24"/>
        </w:rPr>
      </w:pPr>
    </w:p>
    <w:p w14:paraId="3FDFC7CD" w14:textId="77777777" w:rsidR="00BF578E" w:rsidRPr="00BF578E" w:rsidRDefault="00BF578E" w:rsidP="00BF578E">
      <w:pPr>
        <w:spacing w:after="0" w:line="360" w:lineRule="auto"/>
        <w:ind w:firstLine="567"/>
        <w:jc w:val="both"/>
        <w:rPr>
          <w:rFonts w:ascii="Helvetica" w:hAnsi="Helvetica"/>
          <w:sz w:val="20"/>
          <w:szCs w:val="24"/>
        </w:rPr>
      </w:pPr>
      <w:r w:rsidRPr="00BF578E">
        <w:rPr>
          <w:rFonts w:ascii="Helvetica" w:hAnsi="Helvetica"/>
          <w:sz w:val="20"/>
          <w:szCs w:val="24"/>
        </w:rPr>
        <w:t xml:space="preserve">6. Paliperidono palmitatas, skirtas panaudoti pagal 1 punktą arba 2 punktą, kur psichiatriniam pacientui reikalingas psichikos sutrikimo gydymas, parinktas iš grupės, susidedančios iš šizofrenijos ir šizoafektinio sutrikimo. </w:t>
      </w:r>
    </w:p>
    <w:p w14:paraId="481E7D49" w14:textId="77777777" w:rsidR="00BF578E" w:rsidRPr="00BF578E" w:rsidRDefault="00BF578E" w:rsidP="00BF578E">
      <w:pPr>
        <w:spacing w:after="0" w:line="360" w:lineRule="auto"/>
        <w:jc w:val="both"/>
        <w:rPr>
          <w:rFonts w:ascii="Helvetica" w:hAnsi="Helvetica"/>
          <w:sz w:val="20"/>
          <w:szCs w:val="24"/>
        </w:rPr>
      </w:pPr>
    </w:p>
    <w:p w14:paraId="6164118A" w14:textId="77777777" w:rsidR="00BF578E" w:rsidRPr="00BF578E" w:rsidRDefault="00BF578E" w:rsidP="00BF578E">
      <w:pPr>
        <w:spacing w:after="0" w:line="360" w:lineRule="auto"/>
        <w:ind w:firstLine="567"/>
        <w:jc w:val="both"/>
        <w:rPr>
          <w:rFonts w:ascii="Helvetica" w:hAnsi="Helvetica"/>
          <w:sz w:val="20"/>
          <w:szCs w:val="24"/>
        </w:rPr>
      </w:pPr>
      <w:r w:rsidRPr="00BF578E">
        <w:rPr>
          <w:rFonts w:ascii="Helvetica" w:hAnsi="Helvetica"/>
          <w:sz w:val="20"/>
          <w:szCs w:val="24"/>
        </w:rPr>
        <w:t xml:space="preserve">7. Paliperidono palmitatas, skirtas panaudoti pagal 4 punktą arba 6 punktą, kur psichiatriniam pacientui reikalingas psichikos sutrikimo gydymas, parinktas iš grupės, susidedančios iš paranoidinio tipo šizofrenijos (295.30), neorganizuoto tipo šizofrenijos (295.10), katatoninio tipo šizofrenijos (295.20), nediferencijuoto tipo šizofrenijos (295.90), liekamojo tipo šizofrenijos (295.60) ir šizofreniforminio sutrikimo (295.40). </w:t>
      </w:r>
    </w:p>
    <w:p w14:paraId="78E73659" w14:textId="77777777" w:rsidR="00BF578E" w:rsidRPr="00BF578E" w:rsidRDefault="00BF578E" w:rsidP="00BF578E">
      <w:pPr>
        <w:spacing w:after="0" w:line="360" w:lineRule="auto"/>
        <w:jc w:val="both"/>
        <w:rPr>
          <w:rFonts w:ascii="Helvetica" w:hAnsi="Helvetica"/>
          <w:sz w:val="20"/>
          <w:szCs w:val="24"/>
        </w:rPr>
      </w:pPr>
    </w:p>
    <w:p w14:paraId="21655FFE" w14:textId="688E0A99" w:rsidR="0018473C" w:rsidRPr="00BF578E" w:rsidRDefault="00BF578E" w:rsidP="00BF578E">
      <w:pPr>
        <w:spacing w:after="0" w:line="360" w:lineRule="auto"/>
        <w:ind w:firstLine="567"/>
        <w:jc w:val="both"/>
        <w:rPr>
          <w:rFonts w:ascii="Helvetica" w:hAnsi="Helvetica"/>
          <w:sz w:val="20"/>
          <w:szCs w:val="24"/>
        </w:rPr>
      </w:pPr>
      <w:r w:rsidRPr="00BF578E">
        <w:rPr>
          <w:rFonts w:ascii="Helvetica" w:hAnsi="Helvetica"/>
          <w:sz w:val="20"/>
          <w:szCs w:val="24"/>
        </w:rPr>
        <w:t>8. Paliperidono palmitatas, skirtas panaudoti pagal bet kurį iš 1–7 punktų, kur vandeninė nanodalelių suspensija apima nanodaleles, paviršiaus aktyvią medžiagą, suspenduojantį agentą ir pasirinktinai vieną arba daugiau papildomų ingredientų, parinktų iš grupės, susidedančios iš konservantų, buferių ir izotonizuojančių agentų.</w:t>
      </w:r>
    </w:p>
    <w:sectPr w:rsidR="0018473C" w:rsidRPr="00BF578E" w:rsidSect="00BF578E">
      <w:pgSz w:w="11906" w:h="16838" w:code="9"/>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99FCF" w14:textId="77777777" w:rsidR="00BF578E" w:rsidRDefault="00BF578E" w:rsidP="00BF578E">
      <w:pPr>
        <w:spacing w:after="0" w:line="240" w:lineRule="auto"/>
      </w:pPr>
      <w:r>
        <w:separator/>
      </w:r>
    </w:p>
  </w:endnote>
  <w:endnote w:type="continuationSeparator" w:id="0">
    <w:p w14:paraId="79E41814" w14:textId="77777777" w:rsidR="00BF578E" w:rsidRDefault="00BF578E" w:rsidP="00BF5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2DD27" w14:textId="77777777" w:rsidR="00BF578E" w:rsidRDefault="00BF578E" w:rsidP="00BF578E">
      <w:pPr>
        <w:spacing w:after="0" w:line="240" w:lineRule="auto"/>
      </w:pPr>
      <w:r>
        <w:separator/>
      </w:r>
    </w:p>
  </w:footnote>
  <w:footnote w:type="continuationSeparator" w:id="0">
    <w:p w14:paraId="516E2612" w14:textId="77777777" w:rsidR="00BF578E" w:rsidRDefault="00BF578E" w:rsidP="00BF57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02"/>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A3C"/>
    <w:rsid w:val="0000726D"/>
    <w:rsid w:val="000657CC"/>
    <w:rsid w:val="00091494"/>
    <w:rsid w:val="000B1DE7"/>
    <w:rsid w:val="000E73BC"/>
    <w:rsid w:val="000F5E9B"/>
    <w:rsid w:val="00100598"/>
    <w:rsid w:val="001340E0"/>
    <w:rsid w:val="00142022"/>
    <w:rsid w:val="0018473C"/>
    <w:rsid w:val="00187E21"/>
    <w:rsid w:val="001A66DC"/>
    <w:rsid w:val="001D55F6"/>
    <w:rsid w:val="001F7A3C"/>
    <w:rsid w:val="00220F37"/>
    <w:rsid w:val="00276E95"/>
    <w:rsid w:val="0028658E"/>
    <w:rsid w:val="002C447F"/>
    <w:rsid w:val="002D2F3D"/>
    <w:rsid w:val="002F3283"/>
    <w:rsid w:val="003157EF"/>
    <w:rsid w:val="003164EC"/>
    <w:rsid w:val="003215A7"/>
    <w:rsid w:val="003221D8"/>
    <w:rsid w:val="003315F6"/>
    <w:rsid w:val="0033564B"/>
    <w:rsid w:val="0036065D"/>
    <w:rsid w:val="003A00DC"/>
    <w:rsid w:val="003C2A5A"/>
    <w:rsid w:val="003C4F3F"/>
    <w:rsid w:val="004859D0"/>
    <w:rsid w:val="004B1648"/>
    <w:rsid w:val="004B64B8"/>
    <w:rsid w:val="004F002F"/>
    <w:rsid w:val="00504F54"/>
    <w:rsid w:val="00511771"/>
    <w:rsid w:val="00536D9A"/>
    <w:rsid w:val="00550306"/>
    <w:rsid w:val="0056063D"/>
    <w:rsid w:val="005A2745"/>
    <w:rsid w:val="005E010A"/>
    <w:rsid w:val="00610A52"/>
    <w:rsid w:val="00620AE2"/>
    <w:rsid w:val="00643847"/>
    <w:rsid w:val="006A050F"/>
    <w:rsid w:val="006C47E9"/>
    <w:rsid w:val="006F782C"/>
    <w:rsid w:val="0073638B"/>
    <w:rsid w:val="007440F4"/>
    <w:rsid w:val="00774239"/>
    <w:rsid w:val="007D308B"/>
    <w:rsid w:val="007E1842"/>
    <w:rsid w:val="00890960"/>
    <w:rsid w:val="008B787F"/>
    <w:rsid w:val="008E1C0A"/>
    <w:rsid w:val="00904B41"/>
    <w:rsid w:val="00947F90"/>
    <w:rsid w:val="009834FF"/>
    <w:rsid w:val="009E7C9A"/>
    <w:rsid w:val="00A007EB"/>
    <w:rsid w:val="00A276CA"/>
    <w:rsid w:val="00A41E70"/>
    <w:rsid w:val="00A7405D"/>
    <w:rsid w:val="00AC620D"/>
    <w:rsid w:val="00AD0146"/>
    <w:rsid w:val="00AD5E9E"/>
    <w:rsid w:val="00B517F1"/>
    <w:rsid w:val="00B536BD"/>
    <w:rsid w:val="00B63A7F"/>
    <w:rsid w:val="00BC407F"/>
    <w:rsid w:val="00BF578E"/>
    <w:rsid w:val="00C211B4"/>
    <w:rsid w:val="00CE2C39"/>
    <w:rsid w:val="00D47BE4"/>
    <w:rsid w:val="00D61739"/>
    <w:rsid w:val="00DC6934"/>
    <w:rsid w:val="00DE0809"/>
    <w:rsid w:val="00EE464B"/>
    <w:rsid w:val="00F20677"/>
    <w:rsid w:val="00F848A6"/>
    <w:rsid w:val="00FD30A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40A72"/>
  <w15:chartTrackingRefBased/>
  <w15:docId w15:val="{8E386E63-ADF5-419A-9819-F86B6B316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8658E"/>
  </w:style>
  <w:style w:type="paragraph" w:styleId="Antrat1">
    <w:name w:val="heading 1"/>
    <w:basedOn w:val="prastasis"/>
    <w:next w:val="prastasis"/>
    <w:link w:val="Antrat1Diagrama"/>
    <w:uiPriority w:val="9"/>
    <w:qFormat/>
    <w:rsid w:val="001F7A3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Antrat2">
    <w:name w:val="heading 2"/>
    <w:basedOn w:val="prastasis"/>
    <w:next w:val="prastasis"/>
    <w:link w:val="Antrat2Diagrama"/>
    <w:uiPriority w:val="9"/>
    <w:semiHidden/>
    <w:unhideWhenUsed/>
    <w:qFormat/>
    <w:rsid w:val="001F7A3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Antrat3">
    <w:name w:val="heading 3"/>
    <w:basedOn w:val="prastasis"/>
    <w:next w:val="prastasis"/>
    <w:link w:val="Antrat3Diagrama"/>
    <w:uiPriority w:val="9"/>
    <w:semiHidden/>
    <w:unhideWhenUsed/>
    <w:qFormat/>
    <w:rsid w:val="001F7A3C"/>
    <w:pPr>
      <w:keepNext/>
      <w:keepLines/>
      <w:spacing w:before="160" w:after="80"/>
      <w:outlineLvl w:val="2"/>
    </w:pPr>
    <w:rPr>
      <w:rFonts w:eastAsiaTheme="majorEastAsia" w:cstheme="majorBidi"/>
      <w:color w:val="365F91" w:themeColor="accent1" w:themeShade="BF"/>
      <w:sz w:val="28"/>
      <w:szCs w:val="28"/>
    </w:rPr>
  </w:style>
  <w:style w:type="paragraph" w:styleId="Antrat4">
    <w:name w:val="heading 4"/>
    <w:basedOn w:val="prastasis"/>
    <w:next w:val="prastasis"/>
    <w:link w:val="Antrat4Diagrama"/>
    <w:uiPriority w:val="9"/>
    <w:semiHidden/>
    <w:unhideWhenUsed/>
    <w:qFormat/>
    <w:rsid w:val="001F7A3C"/>
    <w:pPr>
      <w:keepNext/>
      <w:keepLines/>
      <w:spacing w:before="80" w:after="40"/>
      <w:outlineLvl w:val="3"/>
    </w:pPr>
    <w:rPr>
      <w:rFonts w:eastAsiaTheme="majorEastAsia" w:cstheme="majorBidi"/>
      <w:i/>
      <w:iCs/>
      <w:color w:val="365F91" w:themeColor="accent1" w:themeShade="BF"/>
    </w:rPr>
  </w:style>
  <w:style w:type="paragraph" w:styleId="Antrat5">
    <w:name w:val="heading 5"/>
    <w:basedOn w:val="prastasis"/>
    <w:next w:val="prastasis"/>
    <w:link w:val="Antrat5Diagrama"/>
    <w:uiPriority w:val="9"/>
    <w:semiHidden/>
    <w:unhideWhenUsed/>
    <w:qFormat/>
    <w:rsid w:val="001F7A3C"/>
    <w:pPr>
      <w:keepNext/>
      <w:keepLines/>
      <w:spacing w:before="80" w:after="40"/>
      <w:outlineLvl w:val="4"/>
    </w:pPr>
    <w:rPr>
      <w:rFonts w:eastAsiaTheme="majorEastAsia" w:cstheme="majorBidi"/>
      <w:color w:val="365F91" w:themeColor="accent1" w:themeShade="BF"/>
    </w:rPr>
  </w:style>
  <w:style w:type="paragraph" w:styleId="Antrat6">
    <w:name w:val="heading 6"/>
    <w:basedOn w:val="prastasis"/>
    <w:next w:val="prastasis"/>
    <w:link w:val="Antrat6Diagrama"/>
    <w:uiPriority w:val="9"/>
    <w:semiHidden/>
    <w:unhideWhenUsed/>
    <w:qFormat/>
    <w:rsid w:val="001F7A3C"/>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1F7A3C"/>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1F7A3C"/>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1F7A3C"/>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1F7A3C"/>
    <w:rPr>
      <w:rFonts w:asciiTheme="majorHAnsi" w:eastAsiaTheme="majorEastAsia" w:hAnsiTheme="majorHAnsi" w:cstheme="majorBidi"/>
      <w:color w:val="365F91" w:themeColor="accent1" w:themeShade="BF"/>
      <w:sz w:val="40"/>
      <w:szCs w:val="40"/>
    </w:rPr>
  </w:style>
  <w:style w:type="character" w:customStyle="1" w:styleId="Antrat2Diagrama">
    <w:name w:val="Antraštė 2 Diagrama"/>
    <w:basedOn w:val="Numatytasispastraiposriftas"/>
    <w:link w:val="Antrat2"/>
    <w:uiPriority w:val="9"/>
    <w:semiHidden/>
    <w:rsid w:val="001F7A3C"/>
    <w:rPr>
      <w:rFonts w:asciiTheme="majorHAnsi" w:eastAsiaTheme="majorEastAsia" w:hAnsiTheme="majorHAnsi" w:cstheme="majorBidi"/>
      <w:color w:val="365F91" w:themeColor="accent1" w:themeShade="BF"/>
      <w:sz w:val="32"/>
      <w:szCs w:val="32"/>
    </w:rPr>
  </w:style>
  <w:style w:type="character" w:customStyle="1" w:styleId="Antrat3Diagrama">
    <w:name w:val="Antraštė 3 Diagrama"/>
    <w:basedOn w:val="Numatytasispastraiposriftas"/>
    <w:link w:val="Antrat3"/>
    <w:uiPriority w:val="9"/>
    <w:semiHidden/>
    <w:rsid w:val="001F7A3C"/>
    <w:rPr>
      <w:rFonts w:eastAsiaTheme="majorEastAsia" w:cstheme="majorBidi"/>
      <w:color w:val="365F91" w:themeColor="accent1" w:themeShade="BF"/>
      <w:sz w:val="28"/>
      <w:szCs w:val="28"/>
    </w:rPr>
  </w:style>
  <w:style w:type="character" w:customStyle="1" w:styleId="Antrat4Diagrama">
    <w:name w:val="Antraštė 4 Diagrama"/>
    <w:basedOn w:val="Numatytasispastraiposriftas"/>
    <w:link w:val="Antrat4"/>
    <w:uiPriority w:val="9"/>
    <w:semiHidden/>
    <w:rsid w:val="001F7A3C"/>
    <w:rPr>
      <w:rFonts w:eastAsiaTheme="majorEastAsia" w:cstheme="majorBidi"/>
      <w:i/>
      <w:iCs/>
      <w:color w:val="365F91" w:themeColor="accent1" w:themeShade="BF"/>
    </w:rPr>
  </w:style>
  <w:style w:type="character" w:customStyle="1" w:styleId="Antrat5Diagrama">
    <w:name w:val="Antraštė 5 Diagrama"/>
    <w:basedOn w:val="Numatytasispastraiposriftas"/>
    <w:link w:val="Antrat5"/>
    <w:uiPriority w:val="9"/>
    <w:semiHidden/>
    <w:rsid w:val="001F7A3C"/>
    <w:rPr>
      <w:rFonts w:eastAsiaTheme="majorEastAsia" w:cstheme="majorBidi"/>
      <w:color w:val="365F91" w:themeColor="accent1" w:themeShade="BF"/>
    </w:rPr>
  </w:style>
  <w:style w:type="character" w:customStyle="1" w:styleId="Antrat6Diagrama">
    <w:name w:val="Antraštė 6 Diagrama"/>
    <w:basedOn w:val="Numatytasispastraiposriftas"/>
    <w:link w:val="Antrat6"/>
    <w:uiPriority w:val="9"/>
    <w:semiHidden/>
    <w:rsid w:val="001F7A3C"/>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1F7A3C"/>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1F7A3C"/>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1F7A3C"/>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1F7A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1F7A3C"/>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1F7A3C"/>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1F7A3C"/>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1F7A3C"/>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1F7A3C"/>
    <w:rPr>
      <w:i/>
      <w:iCs/>
      <w:color w:val="404040" w:themeColor="text1" w:themeTint="BF"/>
    </w:rPr>
  </w:style>
  <w:style w:type="paragraph" w:styleId="Sraopastraipa">
    <w:name w:val="List Paragraph"/>
    <w:basedOn w:val="prastasis"/>
    <w:uiPriority w:val="34"/>
    <w:qFormat/>
    <w:rsid w:val="001F7A3C"/>
    <w:pPr>
      <w:ind w:left="720"/>
      <w:contextualSpacing/>
    </w:pPr>
  </w:style>
  <w:style w:type="character" w:styleId="Rykuspabraukimas">
    <w:name w:val="Intense Emphasis"/>
    <w:basedOn w:val="Numatytasispastraiposriftas"/>
    <w:uiPriority w:val="21"/>
    <w:qFormat/>
    <w:rsid w:val="001F7A3C"/>
    <w:rPr>
      <w:i/>
      <w:iCs/>
      <w:color w:val="365F91" w:themeColor="accent1" w:themeShade="BF"/>
    </w:rPr>
  </w:style>
  <w:style w:type="paragraph" w:styleId="Iskirtacitata">
    <w:name w:val="Intense Quote"/>
    <w:basedOn w:val="prastasis"/>
    <w:next w:val="prastasis"/>
    <w:link w:val="IskirtacitataDiagrama"/>
    <w:uiPriority w:val="30"/>
    <w:qFormat/>
    <w:rsid w:val="001F7A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skirtacitataDiagrama">
    <w:name w:val="Išskirta citata Diagrama"/>
    <w:basedOn w:val="Numatytasispastraiposriftas"/>
    <w:link w:val="Iskirtacitata"/>
    <w:uiPriority w:val="30"/>
    <w:rsid w:val="001F7A3C"/>
    <w:rPr>
      <w:i/>
      <w:iCs/>
      <w:color w:val="365F91" w:themeColor="accent1" w:themeShade="BF"/>
    </w:rPr>
  </w:style>
  <w:style w:type="character" w:styleId="Rykinuoroda">
    <w:name w:val="Intense Reference"/>
    <w:basedOn w:val="Numatytasispastraiposriftas"/>
    <w:uiPriority w:val="32"/>
    <w:qFormat/>
    <w:rsid w:val="001F7A3C"/>
    <w:rPr>
      <w:b/>
      <w:bCs/>
      <w:smallCaps/>
      <w:color w:val="365F91" w:themeColor="accent1" w:themeShade="BF"/>
      <w:spacing w:val="5"/>
    </w:rPr>
  </w:style>
  <w:style w:type="paragraph" w:styleId="Antrats">
    <w:name w:val="header"/>
    <w:basedOn w:val="prastasis"/>
    <w:link w:val="AntratsDiagrama"/>
    <w:uiPriority w:val="99"/>
    <w:unhideWhenUsed/>
    <w:rsid w:val="00BF578E"/>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BF578E"/>
  </w:style>
  <w:style w:type="paragraph" w:styleId="Porat">
    <w:name w:val="footer"/>
    <w:basedOn w:val="prastasis"/>
    <w:link w:val="PoratDiagrama"/>
    <w:uiPriority w:val="99"/>
    <w:unhideWhenUsed/>
    <w:rsid w:val="00BF578E"/>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BF5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387</Words>
  <Characters>2944</Characters>
  <Application>Microsoft Office Word</Application>
  <DocSecurity>0</DocSecurity>
  <Lines>46</Lines>
  <Paragraphs>9</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Eidukevičienė</dc:creator>
  <cp:keywords/>
  <dc:description/>
  <cp:lastModifiedBy>Jurgita Eidukevičienė</cp:lastModifiedBy>
  <cp:revision>7</cp:revision>
  <dcterms:created xsi:type="dcterms:W3CDTF">2025-01-30T12:09:00Z</dcterms:created>
  <dcterms:modified xsi:type="dcterms:W3CDTF">2025-01-30T12:13:00Z</dcterms:modified>
</cp:coreProperties>
</file>