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7C55" w14:textId="68D25F83" w:rsidR="001F431C"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pacing w:val="-4"/>
          <w:sz w:val="20"/>
          <w:szCs w:val="24"/>
          <w:lang w:eastAsia="zh-CN"/>
        </w:rPr>
      </w:pPr>
      <w:r w:rsidRPr="001F431C">
        <w:rPr>
          <w:rFonts w:ascii="Helvetica" w:eastAsia="Arial" w:hAnsi="Helvetica" w:cs="Helvetica"/>
          <w:color w:val="000000"/>
          <w:sz w:val="20"/>
          <w:szCs w:val="24"/>
          <w:lang w:eastAsia="zh-CN"/>
        </w:rPr>
        <w:t>1.</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pacing w:val="-4"/>
          <w:sz w:val="20"/>
          <w:szCs w:val="24"/>
          <w:lang w:eastAsia="zh-CN"/>
        </w:rPr>
        <w:t>Farmacinė kompozicija, skirta naudoti išoriškai ant žmogaus odos, ją sudaro:</w:t>
      </w:r>
    </w:p>
    <w:p w14:paraId="6FAFB5CB" w14:textId="77777777" w:rsidR="001F431C" w:rsidRPr="001F431C" w:rsidRDefault="00EE3D7A" w:rsidP="001F431C">
      <w:pPr>
        <w:tabs>
          <w:tab w:val="left" w:pos="851"/>
        </w:tabs>
        <w:overflowPunct w:val="0"/>
        <w:spacing w:after="0" w:line="360" w:lineRule="auto"/>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kortikosteroidas, parinktas iš grupės, susidedančios iš halobetazolio propionato, klobetazolio propionato, betametazono dipropionato, diflorazono diacetato, kurių koncentracija mažesnė nei 0,05 % (m/m), ir fluocinonido, kurio koncentracija mažesnė nei 0,1 % (m/m);</w:t>
      </w:r>
    </w:p>
    <w:p w14:paraId="5FA8E105" w14:textId="77777777" w:rsidR="001F431C" w:rsidRPr="001F431C" w:rsidRDefault="00EE3D7A" w:rsidP="001F431C">
      <w:pPr>
        <w:tabs>
          <w:tab w:val="left" w:pos="851"/>
        </w:tabs>
        <w:overflowPunct w:val="0"/>
        <w:spacing w:after="0" w:line="360" w:lineRule="auto"/>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ir</w:t>
      </w:r>
    </w:p>
    <w:p w14:paraId="05E24F2C" w14:textId="60F7589C" w:rsidR="00EE3D7A" w:rsidRPr="001F431C" w:rsidRDefault="00EE3D7A" w:rsidP="001F431C">
      <w:pPr>
        <w:tabs>
          <w:tab w:val="left" w:pos="851"/>
        </w:tabs>
        <w:overflowPunct w:val="0"/>
        <w:spacing w:after="0" w:line="360" w:lineRule="auto"/>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skystas aliejaus komponentas, apimantis dikarboksirūgšties esterį, apimantį dietilo sebakatą, diizopropilo adipatą arba dibutilo sebakatą, kuriame skysto aliejaus komponento koncentracija yra nuo 1,5 iki 3 kartų didesnė už tą, kurios reikia, kad kompozicijoje esantis kortikosteroido kiekis visiškai ištirptų 22 °C ± 2 °C temperatūroje, ir kuriame dikarboksirūgšties esterio koncentracija skystame aliejaus komponente yra mažiausiai 10 % skysto aliejaus komponento koncentracijos kompozicijoje.</w:t>
      </w:r>
    </w:p>
    <w:p w14:paraId="0C0F3729" w14:textId="77777777" w:rsidR="001F431C" w:rsidRPr="001F431C" w:rsidRDefault="001F431C" w:rsidP="001F431C">
      <w:pPr>
        <w:tabs>
          <w:tab w:val="left" w:pos="851"/>
        </w:tabs>
        <w:overflowPunct w:val="0"/>
        <w:spacing w:after="0" w:line="360" w:lineRule="auto"/>
        <w:jc w:val="both"/>
        <w:rPr>
          <w:rFonts w:ascii="Helvetica" w:eastAsia="Arial" w:hAnsi="Helvetica" w:cs="Helvetica"/>
          <w:color w:val="000000"/>
          <w:sz w:val="20"/>
          <w:szCs w:val="24"/>
          <w:lang w:eastAsia="zh-CN"/>
        </w:rPr>
      </w:pPr>
    </w:p>
    <w:p w14:paraId="5603F265" w14:textId="3EC3D53E"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2.</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1 punktą, kur kortikosteroido koncentracija yra 0,04 % (m/m) ar mažesnė.</w:t>
      </w:r>
    </w:p>
    <w:p w14:paraId="79D891F2"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7076FB5C" w14:textId="0463FCBC"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3.</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1 ar 2 punktą, kur kortikosteroido koncentracija 0,025 % (m/m) ar mažesnė, ypač kur kortikosteroido koncentracija yra 0,01 % (m/m) arba mažesnė.</w:t>
      </w:r>
    </w:p>
    <w:p w14:paraId="0AE369AE"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1F95DD21" w14:textId="5159E039"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pacing w:val="2"/>
          <w:sz w:val="20"/>
          <w:szCs w:val="24"/>
          <w:lang w:eastAsia="zh-CN"/>
        </w:rPr>
      </w:pPr>
      <w:r w:rsidRPr="001F431C">
        <w:rPr>
          <w:rFonts w:ascii="Helvetica" w:eastAsia="Arial" w:hAnsi="Helvetica" w:cs="Helvetica"/>
          <w:color w:val="000000"/>
          <w:sz w:val="20"/>
          <w:szCs w:val="24"/>
          <w:lang w:eastAsia="zh-CN"/>
        </w:rPr>
        <w:t>4.</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pacing w:val="2"/>
          <w:sz w:val="20"/>
          <w:szCs w:val="24"/>
          <w:lang w:eastAsia="zh-CN"/>
        </w:rPr>
        <w:t>Farmacinė kompozicija pagal bet kurį iš 1–3 punktų, kur skysto aliejaus komponento koncentracija yra nuo 1,75 iki 2,75 karto didesnė, nei reikia, kad kompozicijoje esantis kortikosteroido kiekis visiškai ištirptų 22 °C ± 2 °C temperatūroje.</w:t>
      </w:r>
    </w:p>
    <w:p w14:paraId="7FFBC465"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pacing w:val="2"/>
          <w:sz w:val="20"/>
          <w:szCs w:val="24"/>
          <w:lang w:eastAsia="zh-CN"/>
        </w:rPr>
      </w:pPr>
    </w:p>
    <w:p w14:paraId="20E62A24" w14:textId="1E38D150" w:rsidR="001F431C"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5.</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bet kurį iš 1–4 punktų, kur dikarboksirūgšties esterio koncentracija skystame aliejaus komponente yra mažiausiai 30 % skysto aliejaus komponento koncentracijos kompozicijoje,</w:t>
      </w:r>
    </w:p>
    <w:p w14:paraId="37EC8C09" w14:textId="77777777" w:rsidR="001F431C" w:rsidRPr="001F431C" w:rsidRDefault="00EE3D7A" w:rsidP="001F431C">
      <w:pPr>
        <w:tabs>
          <w:tab w:val="left" w:pos="851"/>
        </w:tabs>
        <w:overflowPunct w:val="0"/>
        <w:spacing w:after="0" w:line="360" w:lineRule="auto"/>
        <w:jc w:val="both"/>
        <w:rPr>
          <w:rFonts w:ascii="Helvetica" w:eastAsia="Arial" w:hAnsi="Helvetica" w:cs="Helvetica"/>
          <w:color w:val="000000"/>
          <w:spacing w:val="2"/>
          <w:sz w:val="20"/>
          <w:szCs w:val="24"/>
          <w:lang w:eastAsia="zh-CN"/>
        </w:rPr>
      </w:pPr>
      <w:r w:rsidRPr="001F431C">
        <w:rPr>
          <w:rFonts w:ascii="Helvetica" w:eastAsia="Arial" w:hAnsi="Helvetica" w:cs="Helvetica"/>
          <w:color w:val="000000"/>
          <w:spacing w:val="2"/>
          <w:sz w:val="20"/>
          <w:szCs w:val="24"/>
          <w:lang w:eastAsia="zh-CN"/>
        </w:rPr>
        <w:t>ypač kur dikarboksirūgšties esterio koncentracija skystame aliejaus komponente yra mažiausiai 50 % skysto aliejaus komponento koncentracijos kompozicijoje,</w:t>
      </w:r>
    </w:p>
    <w:p w14:paraId="08C50F29" w14:textId="77777777" w:rsidR="001F431C" w:rsidRPr="001F431C" w:rsidRDefault="00EE3D7A" w:rsidP="001F431C">
      <w:pPr>
        <w:tabs>
          <w:tab w:val="left" w:pos="851"/>
        </w:tabs>
        <w:overflowPunct w:val="0"/>
        <w:spacing w:after="0" w:line="360" w:lineRule="auto"/>
        <w:jc w:val="both"/>
        <w:rPr>
          <w:rFonts w:ascii="Helvetica" w:eastAsia="Arial" w:hAnsi="Helvetica" w:cs="Helvetica"/>
          <w:color w:val="000000"/>
          <w:spacing w:val="2"/>
          <w:sz w:val="20"/>
          <w:szCs w:val="24"/>
          <w:lang w:eastAsia="zh-CN"/>
        </w:rPr>
      </w:pPr>
      <w:r w:rsidRPr="001F431C">
        <w:rPr>
          <w:rFonts w:ascii="Helvetica" w:eastAsia="Arial" w:hAnsi="Helvetica" w:cs="Helvetica"/>
          <w:color w:val="000000"/>
          <w:spacing w:val="2"/>
          <w:sz w:val="20"/>
          <w:szCs w:val="24"/>
          <w:lang w:eastAsia="zh-CN"/>
        </w:rPr>
        <w:t>ypač kur dikarboksirūgšties esterio koncentracija skystame aliejaus komponente yra mažiausiai 70 % skysto aliejaus komponento koncentracijos kompozicijoje,</w:t>
      </w:r>
    </w:p>
    <w:p w14:paraId="4DDD8107" w14:textId="77777777" w:rsidR="001F431C" w:rsidRPr="001F431C" w:rsidRDefault="00EE3D7A" w:rsidP="001F431C">
      <w:pPr>
        <w:tabs>
          <w:tab w:val="left" w:pos="851"/>
        </w:tabs>
        <w:overflowPunct w:val="0"/>
        <w:spacing w:after="0" w:line="360" w:lineRule="auto"/>
        <w:jc w:val="both"/>
        <w:rPr>
          <w:rFonts w:ascii="Helvetica" w:eastAsia="Arial" w:hAnsi="Helvetica" w:cs="Helvetica"/>
          <w:color w:val="000000"/>
          <w:spacing w:val="2"/>
          <w:sz w:val="20"/>
          <w:szCs w:val="24"/>
          <w:lang w:eastAsia="zh-CN"/>
        </w:rPr>
      </w:pPr>
      <w:r w:rsidRPr="001F431C">
        <w:rPr>
          <w:rFonts w:ascii="Helvetica" w:eastAsia="Arial" w:hAnsi="Helvetica" w:cs="Helvetica"/>
          <w:color w:val="000000"/>
          <w:spacing w:val="2"/>
          <w:sz w:val="20"/>
          <w:szCs w:val="24"/>
          <w:lang w:eastAsia="zh-CN"/>
        </w:rPr>
        <w:t>ypač kur dikarboksirūgšties esterio koncentracija skystame aliejaus komponente yra mažiausiai 90 % skysto aliejaus komponento koncentracijos kompozicijoje,</w:t>
      </w:r>
    </w:p>
    <w:p w14:paraId="0FEEB678" w14:textId="78AA40C9" w:rsidR="00EE3D7A" w:rsidRPr="001F431C" w:rsidRDefault="00EE3D7A" w:rsidP="001F431C">
      <w:pPr>
        <w:tabs>
          <w:tab w:val="left" w:pos="851"/>
        </w:tabs>
        <w:overflowPunct w:val="0"/>
        <w:spacing w:after="0" w:line="360" w:lineRule="auto"/>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ypač kur dikarboksirūgšties esterio koncentracija skystame aliejaus komponente yra 100 % skysto aliejaus komponento koncentracijos kompozicijoje.</w:t>
      </w:r>
    </w:p>
    <w:p w14:paraId="36846704" w14:textId="77777777" w:rsidR="001F431C" w:rsidRPr="001F431C" w:rsidRDefault="001F431C" w:rsidP="001F431C">
      <w:pPr>
        <w:tabs>
          <w:tab w:val="left" w:pos="851"/>
        </w:tabs>
        <w:overflowPunct w:val="0"/>
        <w:spacing w:after="0" w:line="360" w:lineRule="auto"/>
        <w:jc w:val="both"/>
        <w:rPr>
          <w:rFonts w:ascii="Helvetica" w:eastAsia="Arial" w:hAnsi="Helvetica" w:cs="Helvetica"/>
          <w:color w:val="000000"/>
          <w:sz w:val="20"/>
          <w:szCs w:val="24"/>
          <w:lang w:eastAsia="zh-CN"/>
        </w:rPr>
      </w:pPr>
    </w:p>
    <w:p w14:paraId="53DAD72F" w14:textId="1070D202"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6.</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bet kurį iš 1–5 punktų, kur skysto aliejaus komponentą apima dietilo sebakatas.</w:t>
      </w:r>
    </w:p>
    <w:p w14:paraId="53354A20"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0D7E0BC1" w14:textId="3E699EB1"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7.</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bet kurį iš 1–6 punktų, kur skystą aliejaus komponentą papildomai apima monokarboksirūgšties esteris, parinktas iš grupės, susidedančios iš izopropilo miristato, izopropilo palmitato ir benzilformiato, ypač kur monokarboksirūgšties esteris yra izopropilo miristatas.</w:t>
      </w:r>
    </w:p>
    <w:p w14:paraId="74F9C9CF"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3795B13F" w14:textId="2DBFFE6A"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8.</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1 punktą, kur skystą aliejaus komponentą apima dietilo sebakatas ir izopropilo miristatas.</w:t>
      </w:r>
    </w:p>
    <w:p w14:paraId="398FF7DC"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04BD9854" w14:textId="6324741C"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lastRenderedPageBreak/>
        <w:t>9.</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bet kurį iš 1–8 punktų, kur skysto aliejaus komponentą apima mineralinė alyva arba lengvoji mineralinė alyva.</w:t>
      </w:r>
    </w:p>
    <w:p w14:paraId="08873110"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78898B34" w14:textId="4571F2F3"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10.</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bet kurį iš 1–9 punktų, kur kortikosteroidas yra halobetazolio propionatas.</w:t>
      </w:r>
    </w:p>
    <w:p w14:paraId="3F8240B3"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4FAE4F0A" w14:textId="02F8E680"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11.</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10 punktą, kur halobetazolio propionato koncentracija yra apie 0,035 % (m/m).</w:t>
      </w:r>
    </w:p>
    <w:p w14:paraId="21AF7D51"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6D1B03ED" w14:textId="64674479"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12.</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pagal bet kurį iš 1–11 punktų, skirta naudoti gydant odos sutrikimą, tinkamą gydyti nurodytos farmacinės kompozicijos vietiniu kortikosteroidu, patepant odą tokiu kiekiu, kuris veiksmingai sumažins sutrikimo požymius ar simptomus.</w:t>
      </w:r>
    </w:p>
    <w:p w14:paraId="68BAC1B4" w14:textId="77777777" w:rsidR="001F431C" w:rsidRPr="001F431C" w:rsidRDefault="001F431C"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p>
    <w:p w14:paraId="40729E5F" w14:textId="5C25AC23" w:rsidR="00EE3D7A" w:rsidRPr="001F431C" w:rsidRDefault="00EE3D7A" w:rsidP="001F431C">
      <w:pPr>
        <w:tabs>
          <w:tab w:val="left" w:pos="851"/>
        </w:tabs>
        <w:overflowPunct w:val="0"/>
        <w:spacing w:after="0" w:line="360" w:lineRule="auto"/>
        <w:ind w:firstLine="567"/>
        <w:jc w:val="both"/>
        <w:rPr>
          <w:rFonts w:ascii="Helvetica" w:eastAsia="Arial" w:hAnsi="Helvetica" w:cs="Helvetica"/>
          <w:color w:val="000000"/>
          <w:sz w:val="20"/>
          <w:szCs w:val="24"/>
          <w:lang w:eastAsia="zh-CN"/>
        </w:rPr>
      </w:pPr>
      <w:r w:rsidRPr="001F431C">
        <w:rPr>
          <w:rFonts w:ascii="Helvetica" w:eastAsia="Arial" w:hAnsi="Helvetica" w:cs="Helvetica"/>
          <w:color w:val="000000"/>
          <w:sz w:val="20"/>
          <w:szCs w:val="24"/>
          <w:lang w:eastAsia="zh-CN"/>
        </w:rPr>
        <w:t>13.</w:t>
      </w:r>
      <w:r w:rsidR="001F431C" w:rsidRPr="001F431C">
        <w:rPr>
          <w:rFonts w:ascii="Helvetica" w:eastAsia="Arial" w:hAnsi="Helvetica" w:cs="Helvetica"/>
          <w:color w:val="000000"/>
          <w:sz w:val="20"/>
          <w:szCs w:val="24"/>
          <w:lang w:eastAsia="zh-CN"/>
        </w:rPr>
        <w:t xml:space="preserve"> </w:t>
      </w:r>
      <w:r w:rsidRPr="001F431C">
        <w:rPr>
          <w:rFonts w:ascii="Helvetica" w:eastAsia="Arial" w:hAnsi="Helvetica" w:cs="Helvetica"/>
          <w:color w:val="000000"/>
          <w:sz w:val="20"/>
          <w:szCs w:val="24"/>
          <w:lang w:eastAsia="zh-CN"/>
        </w:rPr>
        <w:t>Farmacinė kompozicija, skirta naudoti pagal 12 punktą, kur sutrikimas yra psoriazė, atopinis dermatitas, kontaktinis dermatitas, rankų dermatitas, egzema arba nuodingųjų gebenių dermatitas.</w:t>
      </w:r>
    </w:p>
    <w:p w14:paraId="15324ADA" w14:textId="77777777" w:rsidR="00873A49" w:rsidRPr="001F431C" w:rsidRDefault="00873A49" w:rsidP="001F431C">
      <w:pPr>
        <w:spacing w:after="0" w:line="360" w:lineRule="auto"/>
        <w:jc w:val="both"/>
        <w:rPr>
          <w:rFonts w:ascii="Helvetica" w:hAnsi="Helvetica" w:cs="Helvetica"/>
          <w:sz w:val="20"/>
        </w:rPr>
      </w:pPr>
    </w:p>
    <w:sectPr w:rsidR="00873A49" w:rsidRPr="001F431C" w:rsidSect="001F431C">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7D65" w14:textId="77777777" w:rsidR="006D5085" w:rsidRDefault="006D5085" w:rsidP="001F431C">
      <w:pPr>
        <w:spacing w:after="0" w:line="240" w:lineRule="auto"/>
      </w:pPr>
      <w:r>
        <w:separator/>
      </w:r>
    </w:p>
  </w:endnote>
  <w:endnote w:type="continuationSeparator" w:id="0">
    <w:p w14:paraId="6170E642" w14:textId="77777777" w:rsidR="006D5085" w:rsidRDefault="006D5085" w:rsidP="001F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0DB5" w14:textId="77777777" w:rsidR="006D5085" w:rsidRDefault="006D5085" w:rsidP="001F431C">
      <w:pPr>
        <w:spacing w:after="0" w:line="240" w:lineRule="auto"/>
      </w:pPr>
      <w:r>
        <w:separator/>
      </w:r>
    </w:p>
  </w:footnote>
  <w:footnote w:type="continuationSeparator" w:id="0">
    <w:p w14:paraId="459E1438" w14:textId="77777777" w:rsidR="006D5085" w:rsidRDefault="006D5085" w:rsidP="001F4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7A"/>
    <w:rsid w:val="001F431C"/>
    <w:rsid w:val="00340F82"/>
    <w:rsid w:val="006D5085"/>
    <w:rsid w:val="007B6C37"/>
    <w:rsid w:val="00873A49"/>
    <w:rsid w:val="00EE3D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391B1"/>
  <w15:docId w15:val="{4D350151-58F1-4124-81F1-1693556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1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431C"/>
  </w:style>
  <w:style w:type="paragraph" w:styleId="Footer">
    <w:name w:val="footer"/>
    <w:basedOn w:val="Normal"/>
    <w:link w:val="FooterChar"/>
    <w:uiPriority w:val="99"/>
    <w:unhideWhenUsed/>
    <w:rsid w:val="001F431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3094</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t_m</dc:creator>
  <cp:lastModifiedBy>Raimonda Kvietkauskaitė</cp:lastModifiedBy>
  <cp:revision>2</cp:revision>
  <cp:lastPrinted>2023-01-13T18:05:00Z</cp:lastPrinted>
  <dcterms:created xsi:type="dcterms:W3CDTF">2023-01-19T06:50:00Z</dcterms:created>
  <dcterms:modified xsi:type="dcterms:W3CDTF">2023-01-19T06:50:00Z</dcterms:modified>
</cp:coreProperties>
</file>