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DCA9" w14:textId="77777777" w:rsidR="0017123D" w:rsidRDefault="00B53986" w:rsidP="0017123D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>1. 7-[4-(4-benzo[b]tiofen-4-il-piperazin-1-il)butoksi]-1H-</w:t>
      </w:r>
      <w:r w:rsidR="007B7AFE" w:rsidRPr="00FC1D7B">
        <w:rPr>
          <w:rFonts w:ascii="Helvetica" w:hAnsi="Helvetica" w:cs="Arial"/>
          <w:szCs w:val="22"/>
          <w:lang w:val="lt-LT"/>
        </w:rPr>
        <w:t>chino</w:t>
      </w:r>
      <w:r w:rsidRPr="00FC1D7B">
        <w:rPr>
          <w:rFonts w:ascii="Helvetica" w:hAnsi="Helvetica" w:cs="Arial"/>
          <w:szCs w:val="22"/>
          <w:lang w:val="lt-LT"/>
        </w:rPr>
        <w:t>lin-2-on</w:t>
      </w:r>
      <w:r w:rsidR="007B7AFE" w:rsidRPr="00FC1D7B">
        <w:rPr>
          <w:rFonts w:ascii="Helvetica" w:hAnsi="Helvetica" w:cs="Arial"/>
          <w:szCs w:val="22"/>
          <w:lang w:val="lt-LT"/>
        </w:rPr>
        <w:t>o</w:t>
      </w:r>
      <w:r w:rsidRPr="00FC1D7B">
        <w:rPr>
          <w:rFonts w:ascii="Helvetica" w:hAnsi="Helvetica" w:cs="Arial"/>
          <w:szCs w:val="22"/>
          <w:lang w:val="lt-LT"/>
        </w:rPr>
        <w:t xml:space="preserve"> dihidr</w:t>
      </w:r>
      <w:r w:rsidR="007B7AFE" w:rsidRPr="00FC1D7B">
        <w:rPr>
          <w:rFonts w:ascii="Helvetica" w:hAnsi="Helvetica" w:cs="Arial"/>
          <w:szCs w:val="22"/>
          <w:lang w:val="lt-LT"/>
        </w:rPr>
        <w:t>atas</w:t>
      </w:r>
      <w:r w:rsidRPr="00FC1D7B">
        <w:rPr>
          <w:rFonts w:ascii="Helvetica" w:hAnsi="Helvetica" w:cs="Arial"/>
          <w:szCs w:val="22"/>
          <w:lang w:val="lt-LT"/>
        </w:rPr>
        <w:t>.</w:t>
      </w:r>
    </w:p>
    <w:p w14:paraId="7F069290" w14:textId="77777777" w:rsidR="0017123D" w:rsidRDefault="0017123D" w:rsidP="0017123D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15477651" w14:textId="1A671112" w:rsidR="00B53986" w:rsidRPr="00FC1D7B" w:rsidRDefault="00B53986" w:rsidP="0017123D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>2.</w:t>
      </w:r>
      <w:r w:rsidR="00FC1D7B" w:rsidRPr="00FC1D7B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Dihidr</w:t>
      </w:r>
      <w:r w:rsidR="007B7AFE" w:rsidRPr="00FC1D7B">
        <w:rPr>
          <w:rFonts w:ascii="Helvetica" w:hAnsi="Helvetica" w:cs="Arial"/>
          <w:szCs w:val="22"/>
          <w:lang w:val="lt-LT"/>
        </w:rPr>
        <w:t>atas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</w:t>
      </w:r>
      <w:r w:rsidR="007B7AFE" w:rsidRPr="00FC1D7B">
        <w:rPr>
          <w:rFonts w:ascii="Helvetica" w:hAnsi="Helvetica" w:cs="Arial"/>
          <w:szCs w:val="22"/>
          <w:lang w:val="lt-LT"/>
        </w:rPr>
        <w:t>pagal 1 punktą</w:t>
      </w:r>
      <w:r w:rsidRPr="00FC1D7B">
        <w:rPr>
          <w:rFonts w:ascii="Helvetica" w:hAnsi="Helvetica" w:cs="Arial"/>
          <w:szCs w:val="22"/>
          <w:lang w:val="lt-LT"/>
        </w:rPr>
        <w:t xml:space="preserve">, </w:t>
      </w:r>
      <w:r w:rsidR="007B7AFE" w:rsidRPr="00FC1D7B">
        <w:rPr>
          <w:rFonts w:ascii="Helvetica" w:hAnsi="Helvetica" w:cs="Arial"/>
          <w:szCs w:val="22"/>
          <w:lang w:val="lt-LT"/>
        </w:rPr>
        <w:t>kuris pasižymi charakteringomis smailėmis prie</w:t>
      </w:r>
      <w:r w:rsidRPr="00FC1D7B">
        <w:rPr>
          <w:rFonts w:ascii="Helvetica" w:hAnsi="Helvetica" w:cs="Arial"/>
          <w:szCs w:val="22"/>
          <w:lang w:val="lt-LT"/>
        </w:rPr>
        <w:t xml:space="preserve"> 8,1°, 8,9°, 15,1°, 15,6° </w:t>
      </w:r>
      <w:r w:rsidR="007B7AFE" w:rsidRPr="00FC1D7B">
        <w:rPr>
          <w:rFonts w:ascii="Helvetica" w:hAnsi="Helvetica" w:cs="Arial"/>
          <w:szCs w:val="22"/>
          <w:lang w:val="lt-LT"/>
        </w:rPr>
        <w:t>ir</w:t>
      </w:r>
      <w:r w:rsidRPr="00FC1D7B">
        <w:rPr>
          <w:rFonts w:ascii="Helvetica" w:hAnsi="Helvetica" w:cs="Arial"/>
          <w:szCs w:val="22"/>
          <w:lang w:val="lt-LT"/>
        </w:rPr>
        <w:t xml:space="preserve"> 24,4° difrakcij</w:t>
      </w:r>
      <w:r w:rsidR="00127DC9" w:rsidRPr="00FC1D7B">
        <w:rPr>
          <w:rFonts w:ascii="Helvetica" w:hAnsi="Helvetica" w:cs="Arial"/>
          <w:szCs w:val="22"/>
          <w:lang w:val="lt-LT"/>
        </w:rPr>
        <w:t>o</w:t>
      </w:r>
      <w:r w:rsidRPr="00FC1D7B">
        <w:rPr>
          <w:rFonts w:ascii="Helvetica" w:hAnsi="Helvetica" w:cs="Arial"/>
          <w:szCs w:val="22"/>
          <w:lang w:val="lt-LT"/>
        </w:rPr>
        <w:t xml:space="preserve">s </w:t>
      </w:r>
      <w:r w:rsidR="00127DC9" w:rsidRPr="00FC1D7B">
        <w:rPr>
          <w:rFonts w:ascii="Helvetica" w:hAnsi="Helvetica" w:cs="Arial"/>
          <w:szCs w:val="22"/>
          <w:lang w:val="lt-LT"/>
        </w:rPr>
        <w:t>kampų</w:t>
      </w:r>
      <w:r w:rsidRPr="00FC1D7B">
        <w:rPr>
          <w:rFonts w:ascii="Helvetica" w:hAnsi="Helvetica" w:cs="Arial"/>
          <w:szCs w:val="22"/>
          <w:lang w:val="lt-LT"/>
        </w:rPr>
        <w:t xml:space="preserve"> (2θ) rentgen</w:t>
      </w:r>
      <w:r w:rsidR="00127DC9" w:rsidRPr="00FC1D7B">
        <w:rPr>
          <w:rFonts w:ascii="Helvetica" w:hAnsi="Helvetica" w:cs="Arial"/>
          <w:szCs w:val="22"/>
          <w:lang w:val="lt-LT"/>
        </w:rPr>
        <w:t>o spindulių</w:t>
      </w:r>
      <w:r w:rsidRPr="00FC1D7B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difraktogram</w:t>
      </w:r>
      <w:r w:rsidR="00127DC9" w:rsidRPr="00FC1D7B">
        <w:rPr>
          <w:rFonts w:ascii="Helvetica" w:hAnsi="Helvetica" w:cs="Arial"/>
          <w:szCs w:val="22"/>
          <w:lang w:val="lt-LT"/>
        </w:rPr>
        <w:t>oje</w:t>
      </w:r>
      <w:proofErr w:type="spellEnd"/>
      <w:r w:rsidR="00127DC9" w:rsidRPr="00FC1D7B">
        <w:rPr>
          <w:rFonts w:ascii="Helvetica" w:hAnsi="Helvetica" w:cs="Arial"/>
          <w:szCs w:val="22"/>
          <w:lang w:val="lt-LT"/>
        </w:rPr>
        <w:t>, matuotoje vario spinduliavimu</w:t>
      </w:r>
      <w:r w:rsidRPr="00FC1D7B">
        <w:rPr>
          <w:rFonts w:ascii="Helvetica" w:hAnsi="Helvetica" w:cs="Arial"/>
          <w:szCs w:val="22"/>
          <w:lang w:val="lt-LT"/>
        </w:rPr>
        <w:t xml:space="preserve"> λ =1,5418Å </w:t>
      </w:r>
      <w:r w:rsidR="00FD3884" w:rsidRPr="00FC1D7B">
        <w:rPr>
          <w:rFonts w:ascii="Helvetica" w:hAnsi="Helvetica" w:cs="Arial"/>
          <w:szCs w:val="22"/>
          <w:lang w:val="lt-LT"/>
        </w:rPr>
        <w:t xml:space="preserve">su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mono</w:t>
      </w:r>
      <w:r w:rsidR="00127DC9" w:rsidRPr="00FC1D7B">
        <w:rPr>
          <w:rFonts w:ascii="Helvetica" w:hAnsi="Helvetica" w:cs="Arial"/>
          <w:szCs w:val="22"/>
          <w:lang w:val="lt-LT"/>
        </w:rPr>
        <w:t>c</w:t>
      </w:r>
      <w:r w:rsidRPr="00FC1D7B">
        <w:rPr>
          <w:rFonts w:ascii="Helvetica" w:hAnsi="Helvetica" w:cs="Arial"/>
          <w:szCs w:val="22"/>
          <w:lang w:val="lt-LT"/>
        </w:rPr>
        <w:t>hromator</w:t>
      </w:r>
      <w:r w:rsidR="00127DC9" w:rsidRPr="00FC1D7B">
        <w:rPr>
          <w:rFonts w:ascii="Helvetica" w:hAnsi="Helvetica" w:cs="Arial"/>
          <w:szCs w:val="22"/>
          <w:lang w:val="lt-LT"/>
        </w:rPr>
        <w:t>iumi</w:t>
      </w:r>
      <w:proofErr w:type="spellEnd"/>
      <w:r w:rsidRPr="00FC1D7B">
        <w:rPr>
          <w:rFonts w:ascii="Helvetica" w:hAnsi="Helvetica" w:cs="Arial"/>
          <w:szCs w:val="22"/>
          <w:lang w:val="lt-LT"/>
        </w:rPr>
        <w:t>.</w:t>
      </w:r>
    </w:p>
    <w:p w14:paraId="05415182" w14:textId="77777777" w:rsidR="00FC1D7B" w:rsidRPr="00FC1D7B" w:rsidRDefault="00FC1D7B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15477652" w14:textId="21C50C28" w:rsidR="00B53986" w:rsidRPr="00FC1D7B" w:rsidRDefault="00B53986" w:rsidP="00FC1D7B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shd w:val="clear" w:color="auto" w:fill="FFFFFF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3. </w:t>
      </w:r>
      <w:proofErr w:type="spellStart"/>
      <w:r w:rsidR="00127DC9" w:rsidRPr="00FC1D7B">
        <w:rPr>
          <w:rFonts w:ascii="Helvetica" w:hAnsi="Helvetica" w:cs="Arial"/>
          <w:szCs w:val="22"/>
          <w:lang w:val="lt-LT"/>
        </w:rPr>
        <w:t>Dihidratas</w:t>
      </w:r>
      <w:proofErr w:type="spellEnd"/>
      <w:r w:rsidR="00127DC9" w:rsidRPr="00FC1D7B">
        <w:rPr>
          <w:rFonts w:ascii="Helvetica" w:hAnsi="Helvetica" w:cs="Arial"/>
          <w:szCs w:val="22"/>
          <w:lang w:val="lt-LT"/>
        </w:rPr>
        <w:t xml:space="preserve"> pagal 1 arba 2 punktą, kuris pasižymi charakteringomis smailėmis </w:t>
      </w:r>
      <w:r w:rsidR="00735FDA" w:rsidRPr="00FC1D7B">
        <w:rPr>
          <w:rFonts w:ascii="Helvetica" w:hAnsi="Helvetica" w:cs="Arial"/>
          <w:szCs w:val="22"/>
          <w:lang w:val="lt-LT"/>
        </w:rPr>
        <w:t>prie</w:t>
      </w:r>
      <w:r w:rsidRPr="00FC1D7B">
        <w:rPr>
          <w:rFonts w:ascii="Helvetica" w:hAnsi="Helvetica" w:cs="Arial"/>
          <w:szCs w:val="22"/>
          <w:lang w:val="lt-LT"/>
        </w:rPr>
        <w:t xml:space="preserve"> 3509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2934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2812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1651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1626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1447 cm</w:t>
      </w:r>
      <w:r w:rsidR="00CD2BC9" w:rsidRPr="00FC1D7B">
        <w:rPr>
          <w:rFonts w:ascii="Helvetica" w:hAnsi="Helvetica" w:cs="Arial"/>
          <w:szCs w:val="22"/>
          <w:vertAlign w:val="superscript"/>
          <w:lang w:val="lt-LT"/>
        </w:rPr>
        <w:t>-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1</w:t>
      </w:r>
      <w:r w:rsidRPr="00FC1D7B">
        <w:rPr>
          <w:rFonts w:ascii="Helvetica" w:hAnsi="Helvetica" w:cs="Arial"/>
          <w:szCs w:val="22"/>
          <w:lang w:val="lt-LT"/>
        </w:rPr>
        <w:t>, 1223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="007B7AFE" w:rsidRPr="00FC1D7B">
        <w:rPr>
          <w:rFonts w:ascii="Helvetica" w:hAnsi="Helvetica" w:cs="Arial"/>
          <w:szCs w:val="22"/>
          <w:lang w:val="lt-LT"/>
        </w:rPr>
        <w:t xml:space="preserve"> ir </w:t>
      </w:r>
      <w:r w:rsidRPr="00FC1D7B">
        <w:rPr>
          <w:rFonts w:ascii="Helvetica" w:hAnsi="Helvetica" w:cs="Arial"/>
          <w:szCs w:val="22"/>
          <w:lang w:val="lt-LT"/>
        </w:rPr>
        <w:t>839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 xml:space="preserve"> infra</w:t>
      </w:r>
      <w:r w:rsidR="00127DC9" w:rsidRPr="00FC1D7B">
        <w:rPr>
          <w:rFonts w:ascii="Helvetica" w:hAnsi="Helvetica" w:cs="Arial"/>
          <w:szCs w:val="22"/>
          <w:lang w:val="lt-LT"/>
        </w:rPr>
        <w:t>raudoname absorbcijos spektre, kai matuota</w:t>
      </w:r>
      <w:r w:rsidRPr="00FC1D7B">
        <w:rPr>
          <w:rFonts w:ascii="Helvetica" w:hAnsi="Helvetica" w:cs="Arial"/>
          <w:szCs w:val="22"/>
          <w:shd w:val="clear" w:color="auto" w:fill="FFFFFF"/>
          <w:lang w:val="lt-LT"/>
        </w:rPr>
        <w:t xml:space="preserve"> k</w:t>
      </w:r>
      <w:r w:rsidR="00127DC9" w:rsidRPr="00FC1D7B">
        <w:rPr>
          <w:rFonts w:ascii="Helvetica" w:hAnsi="Helvetica" w:cs="Arial"/>
          <w:szCs w:val="22"/>
          <w:shd w:val="clear" w:color="auto" w:fill="FFFFFF"/>
          <w:lang w:val="lt-LT"/>
        </w:rPr>
        <w:t>alio</w:t>
      </w:r>
      <w:r w:rsidRPr="00FC1D7B">
        <w:rPr>
          <w:rFonts w:ascii="Helvetica" w:hAnsi="Helvetica" w:cs="Arial"/>
          <w:szCs w:val="22"/>
          <w:shd w:val="clear" w:color="auto" w:fill="FFFFFF"/>
          <w:lang w:val="lt-LT"/>
        </w:rPr>
        <w:t xml:space="preserve"> brom</w:t>
      </w:r>
      <w:r w:rsidR="00127DC9" w:rsidRPr="00FC1D7B">
        <w:rPr>
          <w:rFonts w:ascii="Helvetica" w:hAnsi="Helvetica" w:cs="Arial"/>
          <w:szCs w:val="22"/>
          <w:shd w:val="clear" w:color="auto" w:fill="FFFFFF"/>
          <w:lang w:val="lt-LT"/>
        </w:rPr>
        <w:t>ido</w:t>
      </w:r>
      <w:r w:rsidRPr="00FC1D7B">
        <w:rPr>
          <w:rFonts w:ascii="Helvetica" w:hAnsi="Helvetica" w:cs="Arial"/>
          <w:szCs w:val="22"/>
          <w:shd w:val="clear" w:color="auto" w:fill="FFFFFF"/>
          <w:lang w:val="lt-LT"/>
        </w:rPr>
        <w:t xml:space="preserve"> tablet</w:t>
      </w:r>
      <w:r w:rsidR="00127DC9" w:rsidRPr="00FC1D7B">
        <w:rPr>
          <w:rFonts w:ascii="Helvetica" w:hAnsi="Helvetica" w:cs="Arial"/>
          <w:szCs w:val="22"/>
          <w:shd w:val="clear" w:color="auto" w:fill="FFFFFF"/>
          <w:lang w:val="lt-LT"/>
        </w:rPr>
        <w:t>ė</w:t>
      </w:r>
      <w:r w:rsidRPr="00FC1D7B">
        <w:rPr>
          <w:rFonts w:ascii="Helvetica" w:hAnsi="Helvetica" w:cs="Arial"/>
          <w:szCs w:val="22"/>
          <w:shd w:val="clear" w:color="auto" w:fill="FFFFFF"/>
          <w:lang w:val="lt-LT"/>
        </w:rPr>
        <w:t>s metod</w:t>
      </w:r>
      <w:r w:rsidR="00127DC9" w:rsidRPr="00FC1D7B">
        <w:rPr>
          <w:rFonts w:ascii="Helvetica" w:hAnsi="Helvetica" w:cs="Arial"/>
          <w:szCs w:val="22"/>
          <w:shd w:val="clear" w:color="auto" w:fill="FFFFFF"/>
          <w:lang w:val="lt-LT"/>
        </w:rPr>
        <w:t>u</w:t>
      </w:r>
      <w:r w:rsidRPr="00FC1D7B">
        <w:rPr>
          <w:rFonts w:ascii="Helvetica" w:hAnsi="Helvetica" w:cs="Arial"/>
          <w:szCs w:val="22"/>
          <w:shd w:val="clear" w:color="auto" w:fill="FFFFFF"/>
          <w:lang w:val="lt-LT"/>
        </w:rPr>
        <w:t>.</w:t>
      </w:r>
    </w:p>
    <w:p w14:paraId="05409460" w14:textId="77777777" w:rsidR="00FC1D7B" w:rsidRPr="00FC1D7B" w:rsidRDefault="00FC1D7B" w:rsidP="00FC1D7B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shd w:val="clear" w:color="auto" w:fill="FFFFFF"/>
          <w:lang w:val="lt-LT"/>
        </w:rPr>
      </w:pPr>
    </w:p>
    <w:p w14:paraId="15477653" w14:textId="76DD45A0" w:rsidR="00B53986" w:rsidRPr="00FC1D7B" w:rsidRDefault="00B53986" w:rsidP="00FC1D7B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4. </w:t>
      </w:r>
      <w:proofErr w:type="spellStart"/>
      <w:r w:rsidR="00127DC9" w:rsidRPr="00FC1D7B">
        <w:rPr>
          <w:rFonts w:ascii="Helvetica" w:hAnsi="Helvetica" w:cs="Arial"/>
          <w:szCs w:val="22"/>
          <w:lang w:val="lt-LT"/>
        </w:rPr>
        <w:t>Dihidratas</w:t>
      </w:r>
      <w:proofErr w:type="spellEnd"/>
      <w:r w:rsidR="00127DC9" w:rsidRPr="00FC1D7B">
        <w:rPr>
          <w:rFonts w:ascii="Helvetica" w:hAnsi="Helvetica" w:cs="Arial"/>
          <w:szCs w:val="22"/>
          <w:lang w:val="lt-LT"/>
        </w:rPr>
        <w:t xml:space="preserve"> pagal bet kurį vieną iš 1-3 punktų, kuris pasižymi charakteringomis smailėmis prie </w:t>
      </w:r>
      <w:r w:rsidRPr="00FC1D7B">
        <w:rPr>
          <w:rFonts w:ascii="Helvetica" w:hAnsi="Helvetica" w:cs="Arial"/>
          <w:szCs w:val="22"/>
          <w:lang w:val="lt-LT"/>
        </w:rPr>
        <w:t>1497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1376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1323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1311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1287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>, 1223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="007B7AFE" w:rsidRPr="00FC1D7B">
        <w:rPr>
          <w:rFonts w:ascii="Helvetica" w:hAnsi="Helvetica" w:cs="Arial"/>
          <w:szCs w:val="22"/>
          <w:lang w:val="lt-LT"/>
        </w:rPr>
        <w:t xml:space="preserve"> ir </w:t>
      </w:r>
      <w:r w:rsidRPr="00FC1D7B">
        <w:rPr>
          <w:rFonts w:ascii="Helvetica" w:hAnsi="Helvetica" w:cs="Arial"/>
          <w:szCs w:val="22"/>
          <w:lang w:val="lt-LT"/>
        </w:rPr>
        <w:t>781 cm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-1</w:t>
      </w:r>
      <w:r w:rsidRPr="00FC1D7B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Raman</w:t>
      </w:r>
      <w:r w:rsidR="00127DC9" w:rsidRPr="00FC1D7B">
        <w:rPr>
          <w:rFonts w:ascii="Helvetica" w:hAnsi="Helvetica" w:cs="Arial"/>
          <w:szCs w:val="22"/>
          <w:lang w:val="lt-LT"/>
        </w:rPr>
        <w:t>o</w:t>
      </w:r>
      <w:proofErr w:type="spellEnd"/>
      <w:r w:rsidR="00127DC9" w:rsidRPr="00FC1D7B">
        <w:rPr>
          <w:rFonts w:ascii="Helvetica" w:hAnsi="Helvetica" w:cs="Arial"/>
          <w:szCs w:val="22"/>
          <w:lang w:val="lt-LT"/>
        </w:rPr>
        <w:t xml:space="preserve"> spektre</w:t>
      </w:r>
      <w:r w:rsidRPr="00FC1D7B">
        <w:rPr>
          <w:rFonts w:ascii="Helvetica" w:hAnsi="Helvetica" w:cs="Arial"/>
          <w:szCs w:val="22"/>
          <w:lang w:val="lt-LT"/>
        </w:rPr>
        <w:t xml:space="preserve">. </w:t>
      </w:r>
    </w:p>
    <w:p w14:paraId="33AEAF0A" w14:textId="77777777" w:rsidR="00FC1D7B" w:rsidRPr="00FC1D7B" w:rsidRDefault="00FC1D7B" w:rsidP="00FC1D7B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08BB6E46" w14:textId="77777777" w:rsidR="0017123D" w:rsidRDefault="00B53986" w:rsidP="0017123D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5. </w:t>
      </w:r>
      <w:proofErr w:type="spellStart"/>
      <w:r w:rsidR="00127DC9" w:rsidRPr="00FC1D7B">
        <w:rPr>
          <w:rFonts w:ascii="Helvetica" w:hAnsi="Helvetica" w:cs="Arial"/>
          <w:szCs w:val="22"/>
          <w:lang w:val="lt-LT"/>
        </w:rPr>
        <w:t>Dihidratas</w:t>
      </w:r>
      <w:proofErr w:type="spellEnd"/>
      <w:r w:rsidR="00127DC9" w:rsidRPr="00FC1D7B">
        <w:rPr>
          <w:rFonts w:ascii="Helvetica" w:hAnsi="Helvetica" w:cs="Arial"/>
          <w:szCs w:val="22"/>
          <w:lang w:val="lt-LT"/>
        </w:rPr>
        <w:t xml:space="preserve"> pagal bet kurį vieną iš 1-4 punktų</w:t>
      </w:r>
      <w:r w:rsidRPr="00FC1D7B">
        <w:rPr>
          <w:rFonts w:ascii="Helvetica" w:hAnsi="Helvetica" w:cs="Arial"/>
          <w:szCs w:val="22"/>
          <w:lang w:val="lt-LT"/>
        </w:rPr>
        <w:t xml:space="preserve">, </w:t>
      </w:r>
      <w:r w:rsidR="00F25FBF" w:rsidRPr="00FC1D7B">
        <w:rPr>
          <w:rFonts w:ascii="Helvetica" w:hAnsi="Helvetica" w:cs="Arial"/>
          <w:szCs w:val="22"/>
          <w:lang w:val="lt-LT"/>
        </w:rPr>
        <w:t>turintis vandens kiekį nuo</w:t>
      </w:r>
      <w:r w:rsidRPr="00FC1D7B">
        <w:rPr>
          <w:rFonts w:ascii="Helvetica" w:hAnsi="Helvetica" w:cs="Arial"/>
          <w:szCs w:val="22"/>
          <w:lang w:val="lt-LT"/>
        </w:rPr>
        <w:t xml:space="preserve"> 6,5 </w:t>
      </w:r>
      <w:r w:rsidR="00F25FBF" w:rsidRPr="00FC1D7B">
        <w:rPr>
          <w:rFonts w:ascii="Helvetica" w:hAnsi="Helvetica" w:cs="Arial"/>
          <w:szCs w:val="22"/>
          <w:lang w:val="lt-LT"/>
        </w:rPr>
        <w:t>iki</w:t>
      </w:r>
      <w:r w:rsidRPr="00FC1D7B">
        <w:rPr>
          <w:rFonts w:ascii="Helvetica" w:hAnsi="Helvetica" w:cs="Arial"/>
          <w:szCs w:val="22"/>
          <w:lang w:val="lt-LT"/>
        </w:rPr>
        <w:t xml:space="preserve"> 8,8 mas</w:t>
      </w:r>
      <w:r w:rsidR="00F25FBF" w:rsidRPr="00FC1D7B">
        <w:rPr>
          <w:rFonts w:ascii="Helvetica" w:hAnsi="Helvetica" w:cs="Arial"/>
          <w:szCs w:val="22"/>
          <w:lang w:val="lt-LT"/>
        </w:rPr>
        <w:t>ė</w:t>
      </w:r>
      <w:r w:rsidRPr="00FC1D7B">
        <w:rPr>
          <w:rFonts w:ascii="Helvetica" w:hAnsi="Helvetica" w:cs="Arial"/>
          <w:szCs w:val="22"/>
          <w:lang w:val="lt-LT"/>
        </w:rPr>
        <w:t xml:space="preserve">s %. </w:t>
      </w:r>
    </w:p>
    <w:p w14:paraId="307A6B32" w14:textId="77777777" w:rsidR="0017123D" w:rsidRDefault="0017123D" w:rsidP="0017123D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15477655" w14:textId="198222B6" w:rsidR="00B53986" w:rsidRPr="00FC1D7B" w:rsidRDefault="00B53986" w:rsidP="0017123D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6. </w:t>
      </w:r>
      <w:proofErr w:type="spellStart"/>
      <w:r w:rsidR="00127DC9" w:rsidRPr="00FC1D7B">
        <w:rPr>
          <w:rFonts w:ascii="Helvetica" w:hAnsi="Helvetica" w:cs="Arial"/>
          <w:szCs w:val="22"/>
          <w:lang w:val="lt-LT"/>
        </w:rPr>
        <w:t>Dihidratas</w:t>
      </w:r>
      <w:proofErr w:type="spellEnd"/>
      <w:r w:rsidR="00127DC9" w:rsidRPr="00FC1D7B">
        <w:rPr>
          <w:rFonts w:ascii="Helvetica" w:hAnsi="Helvetica" w:cs="Arial"/>
          <w:szCs w:val="22"/>
          <w:lang w:val="lt-LT"/>
        </w:rPr>
        <w:t xml:space="preserve"> pagal bet kurį vieną iš 1-5 punktų</w:t>
      </w:r>
      <w:r w:rsidRPr="00FC1D7B">
        <w:rPr>
          <w:rFonts w:ascii="Helvetica" w:hAnsi="Helvetica" w:cs="Arial"/>
          <w:szCs w:val="22"/>
          <w:lang w:val="lt-LT"/>
        </w:rPr>
        <w:t xml:space="preserve">, </w:t>
      </w:r>
      <w:r w:rsidR="00F25FBF" w:rsidRPr="00FC1D7B">
        <w:rPr>
          <w:rFonts w:ascii="Helvetica" w:hAnsi="Helvetica" w:cs="Arial"/>
          <w:szCs w:val="22"/>
          <w:lang w:val="lt-LT"/>
        </w:rPr>
        <w:t>turintis smailes</w:t>
      </w:r>
      <w:r w:rsidRPr="00FC1D7B">
        <w:rPr>
          <w:rFonts w:ascii="Helvetica" w:hAnsi="Helvetica" w:cs="Arial"/>
          <w:szCs w:val="22"/>
          <w:lang w:val="lt-LT"/>
        </w:rPr>
        <w:t xml:space="preserve"> </w:t>
      </w:r>
      <w:r w:rsidRPr="00FC1D7B">
        <w:rPr>
          <w:rFonts w:ascii="Helvetica" w:hAnsi="Helvetica" w:cs="Arial"/>
          <w:szCs w:val="22"/>
          <w:vertAlign w:val="superscript"/>
          <w:lang w:val="lt-LT"/>
        </w:rPr>
        <w:t>1</w:t>
      </w:r>
      <w:r w:rsidRPr="00FC1D7B">
        <w:rPr>
          <w:rFonts w:ascii="Helvetica" w:hAnsi="Helvetica" w:cs="Arial"/>
          <w:szCs w:val="22"/>
          <w:lang w:val="lt-LT"/>
        </w:rPr>
        <w:t>H-NMR spektr</w:t>
      </w:r>
      <w:r w:rsidR="00F25FBF" w:rsidRPr="00FC1D7B">
        <w:rPr>
          <w:rFonts w:ascii="Helvetica" w:hAnsi="Helvetica" w:cs="Arial"/>
          <w:szCs w:val="22"/>
          <w:lang w:val="lt-LT"/>
        </w:rPr>
        <w:t>e</w:t>
      </w:r>
      <w:r w:rsidRPr="00FC1D7B">
        <w:rPr>
          <w:rFonts w:ascii="Helvetica" w:hAnsi="Helvetica" w:cs="Arial"/>
          <w:szCs w:val="22"/>
          <w:lang w:val="lt-LT"/>
        </w:rPr>
        <w:t xml:space="preserve"> p</w:t>
      </w:r>
      <w:r w:rsidR="00F25FBF" w:rsidRPr="00FC1D7B">
        <w:rPr>
          <w:rFonts w:ascii="Helvetica" w:hAnsi="Helvetica" w:cs="Arial"/>
          <w:szCs w:val="22"/>
          <w:lang w:val="lt-LT"/>
        </w:rPr>
        <w:t>r</w:t>
      </w:r>
      <w:r w:rsidRPr="00FC1D7B">
        <w:rPr>
          <w:rFonts w:ascii="Helvetica" w:hAnsi="Helvetica" w:cs="Arial"/>
          <w:szCs w:val="22"/>
          <w:lang w:val="lt-LT"/>
        </w:rPr>
        <w:t xml:space="preserve">ie: </w:t>
      </w:r>
    </w:p>
    <w:p w14:paraId="15477656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1,64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tt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, J = 7,4 Hz, J = 7,4 Hz, 2H), </w:t>
      </w:r>
    </w:p>
    <w:p w14:paraId="15477657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1,80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tt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, J = 7,0 Hz, J = 7,0 Hz, 2H), </w:t>
      </w:r>
    </w:p>
    <w:p w14:paraId="15477658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2,44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(t, J = 7,5 Hz, 2H), </w:t>
      </w:r>
    </w:p>
    <w:p w14:paraId="15477659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2,62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br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, 4H), </w:t>
      </w:r>
    </w:p>
    <w:p w14:paraId="1547765A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3,06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br</w:t>
      </w:r>
      <w:proofErr w:type="spellEnd"/>
      <w:r w:rsidRPr="00FC1D7B">
        <w:rPr>
          <w:rFonts w:ascii="Helvetica" w:hAnsi="Helvetica" w:cs="Arial"/>
          <w:szCs w:val="22"/>
          <w:lang w:val="lt-LT"/>
        </w:rPr>
        <w:t>, 4H),</w:t>
      </w:r>
    </w:p>
    <w:p w14:paraId="1547765B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3,32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(s, 4H + H</w:t>
      </w:r>
      <w:r w:rsidRPr="00FC1D7B">
        <w:rPr>
          <w:rFonts w:ascii="Helvetica" w:hAnsi="Helvetica" w:cs="Arial"/>
          <w:szCs w:val="22"/>
          <w:vertAlign w:val="subscript"/>
          <w:lang w:val="lt-LT"/>
        </w:rPr>
        <w:t>2</w:t>
      </w:r>
      <w:r w:rsidRPr="00FC1D7B">
        <w:rPr>
          <w:rFonts w:ascii="Helvetica" w:hAnsi="Helvetica" w:cs="Arial"/>
          <w:szCs w:val="22"/>
          <w:lang w:val="lt-LT"/>
        </w:rPr>
        <w:t xml:space="preserve">O), </w:t>
      </w:r>
    </w:p>
    <w:p w14:paraId="1547765C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4,06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(t, J = 6,5 Hz, 2H), </w:t>
      </w:r>
    </w:p>
    <w:p w14:paraId="1547765D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6,29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9,5 Hz, 1H), </w:t>
      </w:r>
    </w:p>
    <w:p w14:paraId="1547765E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6,80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2,5 Hz, 1H), </w:t>
      </w:r>
    </w:p>
    <w:p w14:paraId="1547765F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6,80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dd</w:t>
      </w:r>
      <w:proofErr w:type="spellEnd"/>
      <w:r w:rsidRPr="00FC1D7B">
        <w:rPr>
          <w:rFonts w:ascii="Helvetica" w:hAnsi="Helvetica" w:cs="Arial"/>
          <w:szCs w:val="22"/>
          <w:lang w:val="lt-LT"/>
        </w:rPr>
        <w:t>, J = 2,5 Hz, J = 9</w:t>
      </w:r>
      <w:r w:rsidR="00900226" w:rsidRPr="00FC1D7B">
        <w:rPr>
          <w:rFonts w:ascii="Helvetica" w:hAnsi="Helvetica" w:cs="Arial"/>
          <w:szCs w:val="22"/>
          <w:lang w:val="lt-LT"/>
        </w:rPr>
        <w:t>,</w:t>
      </w:r>
      <w:r w:rsidRPr="00FC1D7B">
        <w:rPr>
          <w:rFonts w:ascii="Helvetica" w:hAnsi="Helvetica" w:cs="Arial"/>
          <w:szCs w:val="22"/>
          <w:lang w:val="lt-LT"/>
        </w:rPr>
        <w:t xml:space="preserve">0 Hz, 1H), </w:t>
      </w:r>
    </w:p>
    <w:p w14:paraId="15477660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6,88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7,5 Hz, 1H),</w:t>
      </w:r>
    </w:p>
    <w:p w14:paraId="15477661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7,27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dd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, J = 7,8 Hz, J = 7,8 Hz, 1H), </w:t>
      </w:r>
    </w:p>
    <w:p w14:paraId="15477662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7,40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</w:t>
      </w:r>
      <w:proofErr w:type="spellStart"/>
      <w:r w:rsidRPr="00FC1D7B">
        <w:rPr>
          <w:rFonts w:ascii="Helvetica" w:hAnsi="Helvetica" w:cs="Arial"/>
          <w:szCs w:val="22"/>
          <w:lang w:val="lt-LT"/>
        </w:rPr>
        <w:t>dd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, J = 0,5 Hz, J = 5,5 Hz, 1H), </w:t>
      </w:r>
    </w:p>
    <w:p w14:paraId="15477663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7,55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9,0 Hz, 1H), </w:t>
      </w:r>
    </w:p>
    <w:p w14:paraId="15477664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7,61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8,0 Hz, 1H), </w:t>
      </w:r>
    </w:p>
    <w:p w14:paraId="15477665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7,69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5,5 Hz, 1H), </w:t>
      </w:r>
    </w:p>
    <w:p w14:paraId="15477666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7,80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(d, J = 9,5 Hz, 1H)</w:t>
      </w:r>
      <w:r w:rsidR="007B7AFE" w:rsidRPr="00FC1D7B">
        <w:rPr>
          <w:rFonts w:ascii="Helvetica" w:hAnsi="Helvetica" w:cs="Arial"/>
          <w:szCs w:val="22"/>
          <w:lang w:val="lt-LT"/>
        </w:rPr>
        <w:t xml:space="preserve"> ir </w:t>
      </w:r>
    </w:p>
    <w:p w14:paraId="15477667" w14:textId="77777777" w:rsidR="00B53986" w:rsidRPr="00FC1D7B" w:rsidRDefault="00B53986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C1D7B">
        <w:rPr>
          <w:rFonts w:ascii="Helvetica" w:hAnsi="Helvetica" w:cs="Arial"/>
          <w:szCs w:val="22"/>
          <w:lang w:val="lt-LT"/>
        </w:rPr>
        <w:t xml:space="preserve">11,57 </w:t>
      </w:r>
      <w:proofErr w:type="spellStart"/>
      <w:r w:rsidRPr="00FC1D7B">
        <w:rPr>
          <w:rFonts w:ascii="Helvetica" w:hAnsi="Helvetica" w:cs="Arial"/>
          <w:szCs w:val="22"/>
          <w:lang w:val="lt-LT"/>
        </w:rPr>
        <w:t>ppm</w:t>
      </w:r>
      <w:proofErr w:type="spellEnd"/>
      <w:r w:rsidRPr="00FC1D7B">
        <w:rPr>
          <w:rFonts w:ascii="Helvetica" w:hAnsi="Helvetica" w:cs="Arial"/>
          <w:szCs w:val="22"/>
          <w:lang w:val="lt-LT"/>
        </w:rPr>
        <w:t xml:space="preserve"> (s, 1H). </w:t>
      </w:r>
    </w:p>
    <w:p w14:paraId="2A8FCA88" w14:textId="77777777" w:rsidR="00FC1D7B" w:rsidRPr="00FC1D7B" w:rsidRDefault="00FC1D7B" w:rsidP="00FC1D7B">
      <w:pPr>
        <w:tabs>
          <w:tab w:val="left" w:pos="1134"/>
        </w:tabs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15477668" w14:textId="37C0D8AC" w:rsidR="00B53986" w:rsidRPr="00FC1D7B" w:rsidRDefault="00B53986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7. </w:t>
      </w:r>
      <w:proofErr w:type="spellStart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Benzotiof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eno</w:t>
      </w:r>
      <w:proofErr w:type="spellEnd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junginys, skirtas naudoti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centr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inės nervų sistemos ligų gydymui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ir/arba profilaktikai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kur junginys apima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proofErr w:type="spellStart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dihidr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atą</w:t>
      </w:r>
      <w:proofErr w:type="spellEnd"/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pagal bet kurį vieną iš 1-6 punktų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ir 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7-[4-(4-benzo[b]tiofen-4-il-piperazin-1-il)butoksi]-1H-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chino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lin-2-on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proofErr w:type="spellStart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anhidr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atą</w:t>
      </w:r>
      <w:proofErr w:type="spellEnd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ir </w:t>
      </w:r>
      <w:proofErr w:type="spellStart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dihidr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ato</w:t>
      </w:r>
      <w:proofErr w:type="spellEnd"/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kiekis junginyje yra 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60 mas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ė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s %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arba daugiau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. </w:t>
      </w:r>
    </w:p>
    <w:p w14:paraId="2A1B37CA" w14:textId="77777777" w:rsidR="00FC1D7B" w:rsidRPr="00FC1D7B" w:rsidRDefault="00FC1D7B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</w:p>
    <w:p w14:paraId="15477669" w14:textId="4FA994DE" w:rsidR="00B53986" w:rsidRPr="00FC1D7B" w:rsidRDefault="00B53986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8.</w:t>
      </w:r>
      <w:r w:rsidR="00FC1D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7-[4-(4-benzo[b]tiofen-4-il-piperazin-1-il)butoksi]-1H-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chino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lin-2-on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proofErr w:type="spellStart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dihidr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atas</w:t>
      </w:r>
      <w:proofErr w:type="spellEnd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pagal bet kurį vieną iš 1-6 punktų, skirtas naudoti centrinės nervų sistemos ligų gydymui ir/arba profilaktikai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. </w:t>
      </w:r>
    </w:p>
    <w:p w14:paraId="0EC0607D" w14:textId="77777777" w:rsidR="00FC1D7B" w:rsidRPr="00FC1D7B" w:rsidRDefault="00FC1D7B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</w:p>
    <w:p w14:paraId="1547766A" w14:textId="355BDFA9" w:rsidR="00B53986" w:rsidRPr="00FC1D7B" w:rsidRDefault="00B53986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9. </w:t>
      </w:r>
      <w:proofErr w:type="spellStart"/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Dihidr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atas</w:t>
      </w:r>
      <w:proofErr w:type="spellEnd"/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skirtas naudoti pagal</w:t>
      </w:r>
      <w:r w:rsidR="00FC1D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8 punktą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r w:rsidR="00F25F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kur centrinės nervų sistemos liga yra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pasirinkta iš grupės, susidedančios iš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šizofrenijos, gydym</w:t>
      </w:r>
      <w:r w:rsidR="008F0B56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ui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atspar</w:t>
      </w:r>
      <w:r w:rsidR="008F0B56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r w:rsidR="00B476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sunkiai gydomos</w:t>
      </w:r>
      <w:r w:rsidR="00FD3884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ir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lėtin</w:t>
      </w:r>
      <w:r w:rsidR="00B476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ė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 šizofrenij</w:t>
      </w:r>
      <w:r w:rsidR="00B476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emocini</w:t>
      </w:r>
      <w:r w:rsidR="00FD3884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ų </w:t>
      </w:r>
      <w:r w:rsidR="00FD3884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lastRenderedPageBreak/>
        <w:t>sutrikimų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psich</w:t>
      </w:r>
      <w:r w:rsidR="008F3317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ozinių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sutrikimų, nuotaikos sutrikim</w:t>
      </w:r>
      <w:r w:rsidR="00B476BF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ų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bipolini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manij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depresij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endogeninė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depresij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didžiosios depresijos,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melancholi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nės</w:t>
      </w:r>
      <w:proofErr w:type="spellEnd"/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ir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gydymui atspari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depresij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distimij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ciklotiminio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sutrikimo, nerimo sutrikimų,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somat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oforminio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r w:rsidR="00FD3884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apsimes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tinio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proofErr w:type="spellStart"/>
      <w:r w:rsidR="00FD3884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socia</w:t>
      </w:r>
      <w:r w:rsidR="008F3317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cinio</w:t>
      </w:r>
      <w:proofErr w:type="spellEnd"/>
      <w:r w:rsidR="00FD3884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seksualini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valgymo sutrikim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miego sutrikim</w:t>
      </w:r>
      <w:r w:rsidR="00CF39A0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adaptacijos sutrikimo, priklausomybės nuo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medžiagos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sutrikim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anhedonijos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kliedes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pažinimo </w:t>
      </w:r>
      <w:r w:rsidR="0063796D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sutrikimo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pažinimo pablogėjimo, susijusi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su Alzh</w:t>
      </w:r>
      <w:r w:rsidR="0063796D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e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imerio liga, Parkinsono liga ir kit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omis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neurodegeneracin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ėmis</w:t>
      </w:r>
      <w:proofErr w:type="spellEnd"/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lig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omis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BPSD sukelto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pažinimo pa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blogėj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imo,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pažinimo pablogėjimo dėl šizofrenijos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gydymui atspari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A43105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atspari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</w:t>
      </w:r>
      <w:r w:rsidR="00FC1D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r w:rsidR="00A43105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arba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lėtin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ės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šizofrenij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os sukelto pažinimo pablogėjimo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vėmim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pykinim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nutukimo, migrenos, skausmo,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protinio atsilikimo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autizmo,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Toureto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sindromo,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tiko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sutrikim</w:t>
      </w:r>
      <w:r w:rsidR="003D7D2C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, dėmesio </w:t>
      </w:r>
      <w:r w:rsidR="00D9417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trūkumo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hiperaktyvumo sutrikim</w:t>
      </w:r>
      <w:r w:rsidR="003D7D2C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, elgesio sutrikimo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ir 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Daun</w:t>
      </w:r>
      <w:r w:rsidR="003D7D2C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sindrom</w:t>
      </w:r>
      <w:r w:rsidR="003D7D2C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o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. </w:t>
      </w:r>
    </w:p>
    <w:p w14:paraId="5C072A11" w14:textId="77777777" w:rsidR="00FC1D7B" w:rsidRPr="00FC1D7B" w:rsidRDefault="00FC1D7B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</w:p>
    <w:p w14:paraId="1547766B" w14:textId="2134DDDD" w:rsidR="00B53986" w:rsidRPr="00FC1D7B" w:rsidRDefault="00B53986" w:rsidP="00FC1D7B">
      <w:pPr>
        <w:pStyle w:val="Pavadinimas"/>
        <w:tabs>
          <w:tab w:val="left" w:pos="1134"/>
        </w:tabs>
        <w:spacing w:before="0" w:after="0" w:line="360" w:lineRule="auto"/>
        <w:ind w:firstLine="567"/>
        <w:jc w:val="both"/>
        <w:rPr>
          <w:rFonts w:ascii="Helvetica" w:hAnsi="Helvetica" w:cs="Arial"/>
          <w:b w:val="0"/>
          <w:bCs w:val="0"/>
          <w:sz w:val="20"/>
          <w:szCs w:val="22"/>
          <w:lang w:val="lt-LT"/>
        </w:rPr>
      </w:pP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1</w:t>
      </w:r>
      <w:r w:rsidR="005670DB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0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. Farmac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inė kompozi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cija, 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apimanti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</w:t>
      </w:r>
      <w:proofErr w:type="spellStart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dihidratą</w:t>
      </w:r>
      <w:proofErr w:type="spellEnd"/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pagal bet kurį vieną iš 1-6 punktų</w:t>
      </w:r>
      <w:r w:rsidR="007B7AF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 ir 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farmac</w:t>
      </w:r>
      <w:r w:rsidR="002F4F6E"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>iniu požiūriu priimtiną nešiklį</w:t>
      </w:r>
      <w:r w:rsidRPr="00FC1D7B">
        <w:rPr>
          <w:rFonts w:ascii="Helvetica" w:hAnsi="Helvetica" w:cs="Arial"/>
          <w:b w:val="0"/>
          <w:bCs w:val="0"/>
          <w:sz w:val="20"/>
          <w:szCs w:val="22"/>
          <w:lang w:val="lt-LT"/>
        </w:rPr>
        <w:t xml:space="preserve">. </w:t>
      </w:r>
    </w:p>
    <w:sectPr w:rsidR="00B53986" w:rsidRPr="00FC1D7B" w:rsidSect="00FC1D7B">
      <w:pgSz w:w="11906" w:h="16838" w:code="9"/>
      <w:pgMar w:top="1134" w:right="567" w:bottom="567" w:left="1701" w:header="567" w:footer="283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7672" w14:textId="77777777" w:rsidR="00B53986" w:rsidRDefault="00B53986">
      <w:r>
        <w:separator/>
      </w:r>
    </w:p>
  </w:endnote>
  <w:endnote w:type="continuationSeparator" w:id="0">
    <w:p w14:paraId="15477673" w14:textId="77777777" w:rsidR="00B53986" w:rsidRDefault="00B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7670" w14:textId="77777777" w:rsidR="00B53986" w:rsidRDefault="00B53986">
      <w:r>
        <w:separator/>
      </w:r>
    </w:p>
  </w:footnote>
  <w:footnote w:type="continuationSeparator" w:id="0">
    <w:p w14:paraId="15477671" w14:textId="77777777" w:rsidR="00B53986" w:rsidRDefault="00B5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2B74"/>
    <w:multiLevelType w:val="multilevel"/>
    <w:tmpl w:val="91B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2113FD1"/>
    <w:multiLevelType w:val="hybridMultilevel"/>
    <w:tmpl w:val="B238857C"/>
    <w:lvl w:ilvl="0" w:tplc="9F146554">
      <w:start w:val="2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816264941">
    <w:abstractNumId w:val="1"/>
  </w:num>
  <w:num w:numId="2" w16cid:durableId="134816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773"/>
    <w:rsid w:val="00005CC8"/>
    <w:rsid w:val="0000606A"/>
    <w:rsid w:val="000060F3"/>
    <w:rsid w:val="00014114"/>
    <w:rsid w:val="00016A3E"/>
    <w:rsid w:val="00022C88"/>
    <w:rsid w:val="00023BA5"/>
    <w:rsid w:val="00025C19"/>
    <w:rsid w:val="00027962"/>
    <w:rsid w:val="00042D91"/>
    <w:rsid w:val="00043130"/>
    <w:rsid w:val="000466E4"/>
    <w:rsid w:val="0005009C"/>
    <w:rsid w:val="000505BE"/>
    <w:rsid w:val="000533FB"/>
    <w:rsid w:val="00056580"/>
    <w:rsid w:val="00056CB6"/>
    <w:rsid w:val="00062715"/>
    <w:rsid w:val="00065637"/>
    <w:rsid w:val="00066243"/>
    <w:rsid w:val="0007178F"/>
    <w:rsid w:val="00072A15"/>
    <w:rsid w:val="00076A4C"/>
    <w:rsid w:val="000775FF"/>
    <w:rsid w:val="0008330A"/>
    <w:rsid w:val="0008395E"/>
    <w:rsid w:val="00086712"/>
    <w:rsid w:val="0009225E"/>
    <w:rsid w:val="00092517"/>
    <w:rsid w:val="00093910"/>
    <w:rsid w:val="000A061C"/>
    <w:rsid w:val="000A0D40"/>
    <w:rsid w:val="000A0D8F"/>
    <w:rsid w:val="000A2EA3"/>
    <w:rsid w:val="000B3175"/>
    <w:rsid w:val="000B4695"/>
    <w:rsid w:val="000B55A9"/>
    <w:rsid w:val="000C194E"/>
    <w:rsid w:val="000C7648"/>
    <w:rsid w:val="000D0495"/>
    <w:rsid w:val="000D43EF"/>
    <w:rsid w:val="000E040D"/>
    <w:rsid w:val="000E63DF"/>
    <w:rsid w:val="000F35DA"/>
    <w:rsid w:val="000F36BB"/>
    <w:rsid w:val="000F6713"/>
    <w:rsid w:val="00102441"/>
    <w:rsid w:val="0011516B"/>
    <w:rsid w:val="00115DBB"/>
    <w:rsid w:val="00122324"/>
    <w:rsid w:val="00127DC9"/>
    <w:rsid w:val="00132351"/>
    <w:rsid w:val="0013293D"/>
    <w:rsid w:val="00134AFB"/>
    <w:rsid w:val="00140DB7"/>
    <w:rsid w:val="00141620"/>
    <w:rsid w:val="00142034"/>
    <w:rsid w:val="0014242D"/>
    <w:rsid w:val="0014658F"/>
    <w:rsid w:val="00151165"/>
    <w:rsid w:val="00156574"/>
    <w:rsid w:val="00156C54"/>
    <w:rsid w:val="00160067"/>
    <w:rsid w:val="00163551"/>
    <w:rsid w:val="00163A01"/>
    <w:rsid w:val="00163A8E"/>
    <w:rsid w:val="00167820"/>
    <w:rsid w:val="0017123D"/>
    <w:rsid w:val="001749B3"/>
    <w:rsid w:val="001757D6"/>
    <w:rsid w:val="00176130"/>
    <w:rsid w:val="001763FE"/>
    <w:rsid w:val="00176803"/>
    <w:rsid w:val="00181B3D"/>
    <w:rsid w:val="00181E99"/>
    <w:rsid w:val="0018247C"/>
    <w:rsid w:val="00184BE3"/>
    <w:rsid w:val="001864BD"/>
    <w:rsid w:val="00186903"/>
    <w:rsid w:val="001869A3"/>
    <w:rsid w:val="00193822"/>
    <w:rsid w:val="001940E0"/>
    <w:rsid w:val="00196A74"/>
    <w:rsid w:val="001A2543"/>
    <w:rsid w:val="001A44BD"/>
    <w:rsid w:val="001A46E0"/>
    <w:rsid w:val="001A4E62"/>
    <w:rsid w:val="001A7769"/>
    <w:rsid w:val="001B1F15"/>
    <w:rsid w:val="001B5589"/>
    <w:rsid w:val="001B560B"/>
    <w:rsid w:val="001B7B9D"/>
    <w:rsid w:val="001C133C"/>
    <w:rsid w:val="001C4BF3"/>
    <w:rsid w:val="001D5CE4"/>
    <w:rsid w:val="001E24F0"/>
    <w:rsid w:val="001E2F20"/>
    <w:rsid w:val="001E5403"/>
    <w:rsid w:val="001F178B"/>
    <w:rsid w:val="001F340A"/>
    <w:rsid w:val="001F5205"/>
    <w:rsid w:val="001F76C8"/>
    <w:rsid w:val="00201997"/>
    <w:rsid w:val="002028D7"/>
    <w:rsid w:val="00202DD7"/>
    <w:rsid w:val="00203C24"/>
    <w:rsid w:val="0020543E"/>
    <w:rsid w:val="0021008B"/>
    <w:rsid w:val="00211614"/>
    <w:rsid w:val="00216702"/>
    <w:rsid w:val="0022396E"/>
    <w:rsid w:val="00226C18"/>
    <w:rsid w:val="0023777E"/>
    <w:rsid w:val="00246F2C"/>
    <w:rsid w:val="00250092"/>
    <w:rsid w:val="0025210A"/>
    <w:rsid w:val="00252BF1"/>
    <w:rsid w:val="00255E33"/>
    <w:rsid w:val="00256BD9"/>
    <w:rsid w:val="0025726B"/>
    <w:rsid w:val="002604BE"/>
    <w:rsid w:val="00263127"/>
    <w:rsid w:val="00265E63"/>
    <w:rsid w:val="00267BE8"/>
    <w:rsid w:val="00270BEB"/>
    <w:rsid w:val="002742E4"/>
    <w:rsid w:val="00276857"/>
    <w:rsid w:val="00280DCE"/>
    <w:rsid w:val="002923EA"/>
    <w:rsid w:val="00293FA5"/>
    <w:rsid w:val="002A0A64"/>
    <w:rsid w:val="002A197A"/>
    <w:rsid w:val="002A200F"/>
    <w:rsid w:val="002A328F"/>
    <w:rsid w:val="002A51BE"/>
    <w:rsid w:val="002B3FF9"/>
    <w:rsid w:val="002B576D"/>
    <w:rsid w:val="002B5987"/>
    <w:rsid w:val="002C02A5"/>
    <w:rsid w:val="002C06DB"/>
    <w:rsid w:val="002C2DFE"/>
    <w:rsid w:val="002C3A2E"/>
    <w:rsid w:val="002C7189"/>
    <w:rsid w:val="002D38A4"/>
    <w:rsid w:val="002D5111"/>
    <w:rsid w:val="002D55C2"/>
    <w:rsid w:val="002D6DF6"/>
    <w:rsid w:val="002E1FA2"/>
    <w:rsid w:val="002E2A51"/>
    <w:rsid w:val="002E684F"/>
    <w:rsid w:val="002E6EBE"/>
    <w:rsid w:val="002F1773"/>
    <w:rsid w:val="002F27D0"/>
    <w:rsid w:val="002F3271"/>
    <w:rsid w:val="002F4F6E"/>
    <w:rsid w:val="002F57B3"/>
    <w:rsid w:val="002F5B51"/>
    <w:rsid w:val="003106A7"/>
    <w:rsid w:val="00313175"/>
    <w:rsid w:val="003139DF"/>
    <w:rsid w:val="00315492"/>
    <w:rsid w:val="00320F9E"/>
    <w:rsid w:val="00322808"/>
    <w:rsid w:val="00324038"/>
    <w:rsid w:val="00325027"/>
    <w:rsid w:val="00327037"/>
    <w:rsid w:val="00330A8A"/>
    <w:rsid w:val="00331218"/>
    <w:rsid w:val="0037184B"/>
    <w:rsid w:val="00375840"/>
    <w:rsid w:val="00383E47"/>
    <w:rsid w:val="00385D27"/>
    <w:rsid w:val="003866D4"/>
    <w:rsid w:val="00387E57"/>
    <w:rsid w:val="00391E4C"/>
    <w:rsid w:val="00393238"/>
    <w:rsid w:val="00393B2B"/>
    <w:rsid w:val="003966AA"/>
    <w:rsid w:val="003A2C5F"/>
    <w:rsid w:val="003A3F0E"/>
    <w:rsid w:val="003A7A57"/>
    <w:rsid w:val="003C204E"/>
    <w:rsid w:val="003C580B"/>
    <w:rsid w:val="003D1D3D"/>
    <w:rsid w:val="003D636E"/>
    <w:rsid w:val="003D6D6C"/>
    <w:rsid w:val="003D7D2C"/>
    <w:rsid w:val="003E1B1B"/>
    <w:rsid w:val="003E4927"/>
    <w:rsid w:val="003E7734"/>
    <w:rsid w:val="003F41E8"/>
    <w:rsid w:val="003F4FED"/>
    <w:rsid w:val="003F7690"/>
    <w:rsid w:val="004006EB"/>
    <w:rsid w:val="004018A4"/>
    <w:rsid w:val="004034F3"/>
    <w:rsid w:val="00403815"/>
    <w:rsid w:val="00403CCB"/>
    <w:rsid w:val="00416E62"/>
    <w:rsid w:val="00421D68"/>
    <w:rsid w:val="004229C3"/>
    <w:rsid w:val="004304A2"/>
    <w:rsid w:val="00431F30"/>
    <w:rsid w:val="004357D0"/>
    <w:rsid w:val="00440725"/>
    <w:rsid w:val="00441A36"/>
    <w:rsid w:val="00441D9D"/>
    <w:rsid w:val="00442475"/>
    <w:rsid w:val="00447ECF"/>
    <w:rsid w:val="00452FB9"/>
    <w:rsid w:val="0046130C"/>
    <w:rsid w:val="00463A8C"/>
    <w:rsid w:val="00464B30"/>
    <w:rsid w:val="0046524F"/>
    <w:rsid w:val="004656C3"/>
    <w:rsid w:val="004656F0"/>
    <w:rsid w:val="00466C83"/>
    <w:rsid w:val="00467081"/>
    <w:rsid w:val="004674C0"/>
    <w:rsid w:val="0047095D"/>
    <w:rsid w:val="00471814"/>
    <w:rsid w:val="00472029"/>
    <w:rsid w:val="00472902"/>
    <w:rsid w:val="00475684"/>
    <w:rsid w:val="00483C3F"/>
    <w:rsid w:val="00485422"/>
    <w:rsid w:val="004933A9"/>
    <w:rsid w:val="00493457"/>
    <w:rsid w:val="004A15F6"/>
    <w:rsid w:val="004A291A"/>
    <w:rsid w:val="004A40C1"/>
    <w:rsid w:val="004A5945"/>
    <w:rsid w:val="004A6552"/>
    <w:rsid w:val="004B27E5"/>
    <w:rsid w:val="004B2C67"/>
    <w:rsid w:val="004C5122"/>
    <w:rsid w:val="004D0EC7"/>
    <w:rsid w:val="004D2279"/>
    <w:rsid w:val="004D3F89"/>
    <w:rsid w:val="004E09FC"/>
    <w:rsid w:val="004E1A7D"/>
    <w:rsid w:val="004E3B48"/>
    <w:rsid w:val="004E62C3"/>
    <w:rsid w:val="004F0E2B"/>
    <w:rsid w:val="004F2945"/>
    <w:rsid w:val="004F523C"/>
    <w:rsid w:val="004F7E09"/>
    <w:rsid w:val="00504466"/>
    <w:rsid w:val="0050577B"/>
    <w:rsid w:val="00512E4A"/>
    <w:rsid w:val="005158FA"/>
    <w:rsid w:val="0051668C"/>
    <w:rsid w:val="00521B49"/>
    <w:rsid w:val="0052408E"/>
    <w:rsid w:val="00526CC2"/>
    <w:rsid w:val="00526DBD"/>
    <w:rsid w:val="0053096E"/>
    <w:rsid w:val="00536610"/>
    <w:rsid w:val="00541649"/>
    <w:rsid w:val="00550096"/>
    <w:rsid w:val="0055219D"/>
    <w:rsid w:val="00557899"/>
    <w:rsid w:val="00562115"/>
    <w:rsid w:val="00564146"/>
    <w:rsid w:val="005670DB"/>
    <w:rsid w:val="0057197A"/>
    <w:rsid w:val="00580153"/>
    <w:rsid w:val="00582A8D"/>
    <w:rsid w:val="00587082"/>
    <w:rsid w:val="0059078B"/>
    <w:rsid w:val="005908D6"/>
    <w:rsid w:val="00592BEA"/>
    <w:rsid w:val="00595193"/>
    <w:rsid w:val="005A3EA7"/>
    <w:rsid w:val="005A60DA"/>
    <w:rsid w:val="005B4BB5"/>
    <w:rsid w:val="005C1089"/>
    <w:rsid w:val="005C1F70"/>
    <w:rsid w:val="005C33D3"/>
    <w:rsid w:val="005C704E"/>
    <w:rsid w:val="005D1102"/>
    <w:rsid w:val="005D14CA"/>
    <w:rsid w:val="005D334D"/>
    <w:rsid w:val="005D4ECD"/>
    <w:rsid w:val="005E01DE"/>
    <w:rsid w:val="005E4B25"/>
    <w:rsid w:val="005E55B7"/>
    <w:rsid w:val="005E686E"/>
    <w:rsid w:val="005E77AC"/>
    <w:rsid w:val="005E7823"/>
    <w:rsid w:val="005F0006"/>
    <w:rsid w:val="005F16FD"/>
    <w:rsid w:val="005F6049"/>
    <w:rsid w:val="00602C00"/>
    <w:rsid w:val="00605927"/>
    <w:rsid w:val="006122F1"/>
    <w:rsid w:val="006126AB"/>
    <w:rsid w:val="00615153"/>
    <w:rsid w:val="0062791A"/>
    <w:rsid w:val="006312C6"/>
    <w:rsid w:val="00633C93"/>
    <w:rsid w:val="00634151"/>
    <w:rsid w:val="0063796D"/>
    <w:rsid w:val="00642885"/>
    <w:rsid w:val="00645046"/>
    <w:rsid w:val="0064555D"/>
    <w:rsid w:val="00646660"/>
    <w:rsid w:val="00647426"/>
    <w:rsid w:val="00651264"/>
    <w:rsid w:val="00656BED"/>
    <w:rsid w:val="00660D89"/>
    <w:rsid w:val="00661DC7"/>
    <w:rsid w:val="006703BE"/>
    <w:rsid w:val="00673514"/>
    <w:rsid w:val="00687116"/>
    <w:rsid w:val="006926EB"/>
    <w:rsid w:val="006949E3"/>
    <w:rsid w:val="00695C4C"/>
    <w:rsid w:val="006A1B74"/>
    <w:rsid w:val="006A4A84"/>
    <w:rsid w:val="006A54EC"/>
    <w:rsid w:val="006A6277"/>
    <w:rsid w:val="006A6BA3"/>
    <w:rsid w:val="006A76C1"/>
    <w:rsid w:val="006B3376"/>
    <w:rsid w:val="006B3C79"/>
    <w:rsid w:val="006B4BFE"/>
    <w:rsid w:val="006B60CE"/>
    <w:rsid w:val="006C2538"/>
    <w:rsid w:val="006D1F17"/>
    <w:rsid w:val="006D6683"/>
    <w:rsid w:val="006D6ACD"/>
    <w:rsid w:val="006E0021"/>
    <w:rsid w:val="006E13C0"/>
    <w:rsid w:val="006E184F"/>
    <w:rsid w:val="006E1EB8"/>
    <w:rsid w:val="006E4A0A"/>
    <w:rsid w:val="006F0D62"/>
    <w:rsid w:val="006F3611"/>
    <w:rsid w:val="006F3867"/>
    <w:rsid w:val="0070311F"/>
    <w:rsid w:val="00716513"/>
    <w:rsid w:val="00716A3C"/>
    <w:rsid w:val="00720FC3"/>
    <w:rsid w:val="007317E1"/>
    <w:rsid w:val="00735FDA"/>
    <w:rsid w:val="0073658C"/>
    <w:rsid w:val="0073742D"/>
    <w:rsid w:val="00740D37"/>
    <w:rsid w:val="00742028"/>
    <w:rsid w:val="0074292F"/>
    <w:rsid w:val="00744FCE"/>
    <w:rsid w:val="007475AC"/>
    <w:rsid w:val="00753BCB"/>
    <w:rsid w:val="0075401E"/>
    <w:rsid w:val="00760520"/>
    <w:rsid w:val="00765DAC"/>
    <w:rsid w:val="00770000"/>
    <w:rsid w:val="0077058C"/>
    <w:rsid w:val="00771C3C"/>
    <w:rsid w:val="00777874"/>
    <w:rsid w:val="00782F28"/>
    <w:rsid w:val="007849C2"/>
    <w:rsid w:val="007852D2"/>
    <w:rsid w:val="0079257B"/>
    <w:rsid w:val="007954A6"/>
    <w:rsid w:val="007A081A"/>
    <w:rsid w:val="007A1D05"/>
    <w:rsid w:val="007A571A"/>
    <w:rsid w:val="007B11DD"/>
    <w:rsid w:val="007B5D98"/>
    <w:rsid w:val="007B6444"/>
    <w:rsid w:val="007B7033"/>
    <w:rsid w:val="007B70BF"/>
    <w:rsid w:val="007B7AFE"/>
    <w:rsid w:val="007C481B"/>
    <w:rsid w:val="007C5656"/>
    <w:rsid w:val="007C69F9"/>
    <w:rsid w:val="007C7A7D"/>
    <w:rsid w:val="007C7E20"/>
    <w:rsid w:val="007D0366"/>
    <w:rsid w:val="007D06F8"/>
    <w:rsid w:val="007D5AFE"/>
    <w:rsid w:val="007D7AC5"/>
    <w:rsid w:val="007E0080"/>
    <w:rsid w:val="007E5E20"/>
    <w:rsid w:val="007E6476"/>
    <w:rsid w:val="007E6B56"/>
    <w:rsid w:val="007E6E41"/>
    <w:rsid w:val="007F24C0"/>
    <w:rsid w:val="007F2A56"/>
    <w:rsid w:val="007F39B1"/>
    <w:rsid w:val="007F3C59"/>
    <w:rsid w:val="007F3D34"/>
    <w:rsid w:val="007F3E62"/>
    <w:rsid w:val="007F6DAD"/>
    <w:rsid w:val="00803C5D"/>
    <w:rsid w:val="00804218"/>
    <w:rsid w:val="00811536"/>
    <w:rsid w:val="008156C5"/>
    <w:rsid w:val="008258F5"/>
    <w:rsid w:val="008279B1"/>
    <w:rsid w:val="0083030C"/>
    <w:rsid w:val="00832ECB"/>
    <w:rsid w:val="00833C48"/>
    <w:rsid w:val="00840907"/>
    <w:rsid w:val="00841CBD"/>
    <w:rsid w:val="0085214D"/>
    <w:rsid w:val="00854BD0"/>
    <w:rsid w:val="00855708"/>
    <w:rsid w:val="0085766D"/>
    <w:rsid w:val="00861A3D"/>
    <w:rsid w:val="0086264A"/>
    <w:rsid w:val="0086320F"/>
    <w:rsid w:val="00865034"/>
    <w:rsid w:val="00866182"/>
    <w:rsid w:val="00867F5C"/>
    <w:rsid w:val="00870254"/>
    <w:rsid w:val="0087150A"/>
    <w:rsid w:val="00872649"/>
    <w:rsid w:val="00873983"/>
    <w:rsid w:val="0087762D"/>
    <w:rsid w:val="00887CDD"/>
    <w:rsid w:val="008937B9"/>
    <w:rsid w:val="0089571C"/>
    <w:rsid w:val="00897949"/>
    <w:rsid w:val="008A04B7"/>
    <w:rsid w:val="008A3CAB"/>
    <w:rsid w:val="008A5705"/>
    <w:rsid w:val="008B18A3"/>
    <w:rsid w:val="008B4B43"/>
    <w:rsid w:val="008B7B79"/>
    <w:rsid w:val="008C46F8"/>
    <w:rsid w:val="008D1EC2"/>
    <w:rsid w:val="008D3687"/>
    <w:rsid w:val="008E3B9C"/>
    <w:rsid w:val="008E50AB"/>
    <w:rsid w:val="008E58C2"/>
    <w:rsid w:val="008E769D"/>
    <w:rsid w:val="008E7B7C"/>
    <w:rsid w:val="008F0350"/>
    <w:rsid w:val="008F0B56"/>
    <w:rsid w:val="008F2BE8"/>
    <w:rsid w:val="008F3317"/>
    <w:rsid w:val="008F45A6"/>
    <w:rsid w:val="00900226"/>
    <w:rsid w:val="00902301"/>
    <w:rsid w:val="00902563"/>
    <w:rsid w:val="0090294E"/>
    <w:rsid w:val="00904933"/>
    <w:rsid w:val="00906815"/>
    <w:rsid w:val="00907C72"/>
    <w:rsid w:val="009103B1"/>
    <w:rsid w:val="00920013"/>
    <w:rsid w:val="00921B2C"/>
    <w:rsid w:val="00924DAD"/>
    <w:rsid w:val="00936261"/>
    <w:rsid w:val="009371F1"/>
    <w:rsid w:val="009429C7"/>
    <w:rsid w:val="00947460"/>
    <w:rsid w:val="00952C74"/>
    <w:rsid w:val="009548B0"/>
    <w:rsid w:val="009564D9"/>
    <w:rsid w:val="009617B7"/>
    <w:rsid w:val="00974A11"/>
    <w:rsid w:val="0097587C"/>
    <w:rsid w:val="00982375"/>
    <w:rsid w:val="0098371D"/>
    <w:rsid w:val="00993597"/>
    <w:rsid w:val="009952CB"/>
    <w:rsid w:val="0099555B"/>
    <w:rsid w:val="009A0888"/>
    <w:rsid w:val="009A39EE"/>
    <w:rsid w:val="009A3AE2"/>
    <w:rsid w:val="009A3FE0"/>
    <w:rsid w:val="009B1729"/>
    <w:rsid w:val="009B1D33"/>
    <w:rsid w:val="009B2514"/>
    <w:rsid w:val="009B45C3"/>
    <w:rsid w:val="009B6CA0"/>
    <w:rsid w:val="009B6CD7"/>
    <w:rsid w:val="009C1B70"/>
    <w:rsid w:val="009C3CD1"/>
    <w:rsid w:val="009C5423"/>
    <w:rsid w:val="009D0179"/>
    <w:rsid w:val="009D4E5D"/>
    <w:rsid w:val="009E1C1B"/>
    <w:rsid w:val="009E2550"/>
    <w:rsid w:val="009E483B"/>
    <w:rsid w:val="009E4BD9"/>
    <w:rsid w:val="009E4ED9"/>
    <w:rsid w:val="009F0D03"/>
    <w:rsid w:val="00A00A4B"/>
    <w:rsid w:val="00A00CB3"/>
    <w:rsid w:val="00A16253"/>
    <w:rsid w:val="00A1725C"/>
    <w:rsid w:val="00A17A44"/>
    <w:rsid w:val="00A2188B"/>
    <w:rsid w:val="00A2200F"/>
    <w:rsid w:val="00A22767"/>
    <w:rsid w:val="00A22E3E"/>
    <w:rsid w:val="00A24A83"/>
    <w:rsid w:val="00A31BB3"/>
    <w:rsid w:val="00A323D6"/>
    <w:rsid w:val="00A3664D"/>
    <w:rsid w:val="00A37296"/>
    <w:rsid w:val="00A401DF"/>
    <w:rsid w:val="00A43105"/>
    <w:rsid w:val="00A43967"/>
    <w:rsid w:val="00A50BFE"/>
    <w:rsid w:val="00A54528"/>
    <w:rsid w:val="00A563C3"/>
    <w:rsid w:val="00A62773"/>
    <w:rsid w:val="00A7330E"/>
    <w:rsid w:val="00A744C9"/>
    <w:rsid w:val="00A82DF0"/>
    <w:rsid w:val="00A85332"/>
    <w:rsid w:val="00A9035F"/>
    <w:rsid w:val="00A92B49"/>
    <w:rsid w:val="00A964B1"/>
    <w:rsid w:val="00AA0CE8"/>
    <w:rsid w:val="00AA11AC"/>
    <w:rsid w:val="00AA338D"/>
    <w:rsid w:val="00AA45B5"/>
    <w:rsid w:val="00AB146B"/>
    <w:rsid w:val="00AB5461"/>
    <w:rsid w:val="00AB75AF"/>
    <w:rsid w:val="00AC079D"/>
    <w:rsid w:val="00AC5C90"/>
    <w:rsid w:val="00AC649D"/>
    <w:rsid w:val="00AC7333"/>
    <w:rsid w:val="00AD2D59"/>
    <w:rsid w:val="00AD2E10"/>
    <w:rsid w:val="00AD34C8"/>
    <w:rsid w:val="00AD5EFD"/>
    <w:rsid w:val="00AE04DB"/>
    <w:rsid w:val="00AE583D"/>
    <w:rsid w:val="00AE7A84"/>
    <w:rsid w:val="00AF0018"/>
    <w:rsid w:val="00AF2AE3"/>
    <w:rsid w:val="00B004C7"/>
    <w:rsid w:val="00B00FD4"/>
    <w:rsid w:val="00B01065"/>
    <w:rsid w:val="00B0512B"/>
    <w:rsid w:val="00B05877"/>
    <w:rsid w:val="00B1014E"/>
    <w:rsid w:val="00B13B4B"/>
    <w:rsid w:val="00B15CBD"/>
    <w:rsid w:val="00B169E4"/>
    <w:rsid w:val="00B17A98"/>
    <w:rsid w:val="00B211E3"/>
    <w:rsid w:val="00B21ABC"/>
    <w:rsid w:val="00B22BF4"/>
    <w:rsid w:val="00B3721F"/>
    <w:rsid w:val="00B411D5"/>
    <w:rsid w:val="00B446E1"/>
    <w:rsid w:val="00B476BF"/>
    <w:rsid w:val="00B47D7D"/>
    <w:rsid w:val="00B50AE9"/>
    <w:rsid w:val="00B50B4A"/>
    <w:rsid w:val="00B53986"/>
    <w:rsid w:val="00B53FD5"/>
    <w:rsid w:val="00B54078"/>
    <w:rsid w:val="00B57605"/>
    <w:rsid w:val="00B57DC5"/>
    <w:rsid w:val="00B64458"/>
    <w:rsid w:val="00B6485E"/>
    <w:rsid w:val="00B67078"/>
    <w:rsid w:val="00B7096D"/>
    <w:rsid w:val="00B727DB"/>
    <w:rsid w:val="00B7770E"/>
    <w:rsid w:val="00B83BAD"/>
    <w:rsid w:val="00B83DEC"/>
    <w:rsid w:val="00B843E9"/>
    <w:rsid w:val="00B8650C"/>
    <w:rsid w:val="00B92705"/>
    <w:rsid w:val="00B94439"/>
    <w:rsid w:val="00B966BE"/>
    <w:rsid w:val="00BA2025"/>
    <w:rsid w:val="00BA5C52"/>
    <w:rsid w:val="00BA683F"/>
    <w:rsid w:val="00BB53D4"/>
    <w:rsid w:val="00BD577C"/>
    <w:rsid w:val="00BD6F14"/>
    <w:rsid w:val="00BE34E8"/>
    <w:rsid w:val="00BE5437"/>
    <w:rsid w:val="00C00CA7"/>
    <w:rsid w:val="00C0283C"/>
    <w:rsid w:val="00C03967"/>
    <w:rsid w:val="00C03FBB"/>
    <w:rsid w:val="00C06B3A"/>
    <w:rsid w:val="00C06DDF"/>
    <w:rsid w:val="00C1617C"/>
    <w:rsid w:val="00C16FE2"/>
    <w:rsid w:val="00C2034B"/>
    <w:rsid w:val="00C208FE"/>
    <w:rsid w:val="00C22EC4"/>
    <w:rsid w:val="00C24907"/>
    <w:rsid w:val="00C27D0C"/>
    <w:rsid w:val="00C30F7A"/>
    <w:rsid w:val="00C37528"/>
    <w:rsid w:val="00C42E0E"/>
    <w:rsid w:val="00C42F61"/>
    <w:rsid w:val="00C434E7"/>
    <w:rsid w:val="00C43828"/>
    <w:rsid w:val="00C43B81"/>
    <w:rsid w:val="00C501A1"/>
    <w:rsid w:val="00C513B5"/>
    <w:rsid w:val="00C53696"/>
    <w:rsid w:val="00C5382B"/>
    <w:rsid w:val="00C54313"/>
    <w:rsid w:val="00C57376"/>
    <w:rsid w:val="00C711A6"/>
    <w:rsid w:val="00C71AF6"/>
    <w:rsid w:val="00C748AC"/>
    <w:rsid w:val="00C80867"/>
    <w:rsid w:val="00C80C8F"/>
    <w:rsid w:val="00C81C05"/>
    <w:rsid w:val="00C82DE1"/>
    <w:rsid w:val="00C90B38"/>
    <w:rsid w:val="00C941FD"/>
    <w:rsid w:val="00C94804"/>
    <w:rsid w:val="00CA1878"/>
    <w:rsid w:val="00CA1B82"/>
    <w:rsid w:val="00CA2D26"/>
    <w:rsid w:val="00CA32AE"/>
    <w:rsid w:val="00CA6155"/>
    <w:rsid w:val="00CB131F"/>
    <w:rsid w:val="00CB3A7A"/>
    <w:rsid w:val="00CC1891"/>
    <w:rsid w:val="00CC1955"/>
    <w:rsid w:val="00CC4823"/>
    <w:rsid w:val="00CC4918"/>
    <w:rsid w:val="00CC5095"/>
    <w:rsid w:val="00CC7955"/>
    <w:rsid w:val="00CC7D9A"/>
    <w:rsid w:val="00CD2483"/>
    <w:rsid w:val="00CD2BC9"/>
    <w:rsid w:val="00CD2F2A"/>
    <w:rsid w:val="00CD337C"/>
    <w:rsid w:val="00CD3801"/>
    <w:rsid w:val="00CD5F53"/>
    <w:rsid w:val="00CD6806"/>
    <w:rsid w:val="00CD77F8"/>
    <w:rsid w:val="00CE49F8"/>
    <w:rsid w:val="00CF0E8F"/>
    <w:rsid w:val="00CF39A0"/>
    <w:rsid w:val="00CF48F7"/>
    <w:rsid w:val="00CF666A"/>
    <w:rsid w:val="00CF6E5F"/>
    <w:rsid w:val="00CF6E82"/>
    <w:rsid w:val="00D0463D"/>
    <w:rsid w:val="00D061A7"/>
    <w:rsid w:val="00D10A97"/>
    <w:rsid w:val="00D14D3A"/>
    <w:rsid w:val="00D22A16"/>
    <w:rsid w:val="00D237FA"/>
    <w:rsid w:val="00D24E6D"/>
    <w:rsid w:val="00D25406"/>
    <w:rsid w:val="00D30876"/>
    <w:rsid w:val="00D34324"/>
    <w:rsid w:val="00D42818"/>
    <w:rsid w:val="00D4504F"/>
    <w:rsid w:val="00D47BC5"/>
    <w:rsid w:val="00D47DAE"/>
    <w:rsid w:val="00D56687"/>
    <w:rsid w:val="00D60BD7"/>
    <w:rsid w:val="00D626F4"/>
    <w:rsid w:val="00D66528"/>
    <w:rsid w:val="00D7024C"/>
    <w:rsid w:val="00D72F71"/>
    <w:rsid w:val="00D7723E"/>
    <w:rsid w:val="00D837A5"/>
    <w:rsid w:val="00D83E95"/>
    <w:rsid w:val="00D85B96"/>
    <w:rsid w:val="00D869A7"/>
    <w:rsid w:val="00D87B02"/>
    <w:rsid w:val="00D9417B"/>
    <w:rsid w:val="00D96137"/>
    <w:rsid w:val="00D96627"/>
    <w:rsid w:val="00DA5556"/>
    <w:rsid w:val="00DA63CB"/>
    <w:rsid w:val="00DA720C"/>
    <w:rsid w:val="00DB2893"/>
    <w:rsid w:val="00DB6E16"/>
    <w:rsid w:val="00DC3F28"/>
    <w:rsid w:val="00DC4713"/>
    <w:rsid w:val="00DD557B"/>
    <w:rsid w:val="00DD7567"/>
    <w:rsid w:val="00DE21CA"/>
    <w:rsid w:val="00DE4772"/>
    <w:rsid w:val="00DF2639"/>
    <w:rsid w:val="00DF341C"/>
    <w:rsid w:val="00DF761B"/>
    <w:rsid w:val="00E01055"/>
    <w:rsid w:val="00E03DC9"/>
    <w:rsid w:val="00E04EC9"/>
    <w:rsid w:val="00E16121"/>
    <w:rsid w:val="00E17918"/>
    <w:rsid w:val="00E23CA7"/>
    <w:rsid w:val="00E3414B"/>
    <w:rsid w:val="00E377EB"/>
    <w:rsid w:val="00E45E53"/>
    <w:rsid w:val="00E461BD"/>
    <w:rsid w:val="00E50AFB"/>
    <w:rsid w:val="00E50D33"/>
    <w:rsid w:val="00E51816"/>
    <w:rsid w:val="00E6266E"/>
    <w:rsid w:val="00E70F80"/>
    <w:rsid w:val="00E766B8"/>
    <w:rsid w:val="00E828D2"/>
    <w:rsid w:val="00E83726"/>
    <w:rsid w:val="00E8643C"/>
    <w:rsid w:val="00E94D67"/>
    <w:rsid w:val="00E95A32"/>
    <w:rsid w:val="00EA07EC"/>
    <w:rsid w:val="00EA29EC"/>
    <w:rsid w:val="00EA4E99"/>
    <w:rsid w:val="00EA4FEC"/>
    <w:rsid w:val="00EA7421"/>
    <w:rsid w:val="00EB09B6"/>
    <w:rsid w:val="00EB5AD9"/>
    <w:rsid w:val="00EC3868"/>
    <w:rsid w:val="00ED3EC1"/>
    <w:rsid w:val="00ED4608"/>
    <w:rsid w:val="00ED47F9"/>
    <w:rsid w:val="00EE0693"/>
    <w:rsid w:val="00EE1674"/>
    <w:rsid w:val="00EE209F"/>
    <w:rsid w:val="00EE4489"/>
    <w:rsid w:val="00EE5AC2"/>
    <w:rsid w:val="00EF016F"/>
    <w:rsid w:val="00EF4624"/>
    <w:rsid w:val="00EF7FBB"/>
    <w:rsid w:val="00F00495"/>
    <w:rsid w:val="00F016E1"/>
    <w:rsid w:val="00F02B60"/>
    <w:rsid w:val="00F03D7D"/>
    <w:rsid w:val="00F05C0D"/>
    <w:rsid w:val="00F06342"/>
    <w:rsid w:val="00F06C9A"/>
    <w:rsid w:val="00F12B5B"/>
    <w:rsid w:val="00F14831"/>
    <w:rsid w:val="00F17706"/>
    <w:rsid w:val="00F17FA1"/>
    <w:rsid w:val="00F22FC7"/>
    <w:rsid w:val="00F22FEE"/>
    <w:rsid w:val="00F23FE5"/>
    <w:rsid w:val="00F2434C"/>
    <w:rsid w:val="00F25FBF"/>
    <w:rsid w:val="00F322E6"/>
    <w:rsid w:val="00F32ED2"/>
    <w:rsid w:val="00F37193"/>
    <w:rsid w:val="00F41268"/>
    <w:rsid w:val="00F42E30"/>
    <w:rsid w:val="00F43212"/>
    <w:rsid w:val="00F44725"/>
    <w:rsid w:val="00F55F17"/>
    <w:rsid w:val="00F56467"/>
    <w:rsid w:val="00F650AA"/>
    <w:rsid w:val="00F705D7"/>
    <w:rsid w:val="00F710B3"/>
    <w:rsid w:val="00F719DC"/>
    <w:rsid w:val="00F82AF4"/>
    <w:rsid w:val="00F83AC5"/>
    <w:rsid w:val="00F85C9B"/>
    <w:rsid w:val="00F90F19"/>
    <w:rsid w:val="00F91E3E"/>
    <w:rsid w:val="00F9225D"/>
    <w:rsid w:val="00F93799"/>
    <w:rsid w:val="00F95A84"/>
    <w:rsid w:val="00F96E17"/>
    <w:rsid w:val="00FA498F"/>
    <w:rsid w:val="00FB049C"/>
    <w:rsid w:val="00FB3EE3"/>
    <w:rsid w:val="00FB7AC3"/>
    <w:rsid w:val="00FC0604"/>
    <w:rsid w:val="00FC1D7B"/>
    <w:rsid w:val="00FC33D3"/>
    <w:rsid w:val="00FC5E6E"/>
    <w:rsid w:val="00FC7E84"/>
    <w:rsid w:val="00FD3884"/>
    <w:rsid w:val="00FD7425"/>
    <w:rsid w:val="00FE1A68"/>
    <w:rsid w:val="00FE4579"/>
    <w:rsid w:val="00FF02EE"/>
    <w:rsid w:val="00FF21ED"/>
    <w:rsid w:val="00FF2C03"/>
    <w:rsid w:val="00FF2CF1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7764E"/>
  <w15:docId w15:val="{9E47B17F-2A94-4900-A801-90AA7DC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AC5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F83AC5"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F83AC5"/>
    <w:pPr>
      <w:tabs>
        <w:tab w:val="left" w:pos="1134"/>
      </w:tabs>
      <w:spacing w:before="120" w:line="360" w:lineRule="auto"/>
      <w:ind w:firstLine="567"/>
      <w:jc w:val="both"/>
    </w:pPr>
    <w:rPr>
      <w:sz w:val="24"/>
      <w:szCs w:val="24"/>
      <w:lang w:val="lv-LV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F83AC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sz w:val="20"/>
      <w:szCs w:val="20"/>
    </w:rPr>
  </w:style>
  <w:style w:type="character" w:styleId="Puslapionumeris">
    <w:name w:val="page number"/>
    <w:basedOn w:val="Numatytasispastraiposriftas"/>
    <w:uiPriority w:val="99"/>
    <w:rsid w:val="00F83AC5"/>
  </w:style>
  <w:style w:type="paragraph" w:styleId="Pagrindinistekstas">
    <w:name w:val="Body Text"/>
    <w:basedOn w:val="prastasis"/>
    <w:link w:val="PagrindinistekstasDiagrama"/>
    <w:uiPriority w:val="99"/>
    <w:rsid w:val="00F83AC5"/>
    <w:pPr>
      <w:jc w:val="both"/>
    </w:pPr>
    <w:rPr>
      <w:sz w:val="24"/>
      <w:szCs w:val="24"/>
      <w:lang w:val="lv-LV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sz w:val="20"/>
      <w:szCs w:val="20"/>
    </w:rPr>
  </w:style>
  <w:style w:type="character" w:styleId="Eilutsnumeris">
    <w:name w:val="line number"/>
    <w:basedOn w:val="Numatytasispastraiposriftas"/>
    <w:uiPriority w:val="99"/>
    <w:rsid w:val="00F83AC5"/>
  </w:style>
  <w:style w:type="character" w:styleId="Emfaz">
    <w:name w:val="Emphasis"/>
    <w:basedOn w:val="Numatytasispastraiposriftas"/>
    <w:uiPriority w:val="99"/>
    <w:qFormat/>
    <w:rsid w:val="00562115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7C7E2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locked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rsid w:val="007C7E2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rsid w:val="000A0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uiPriority w:val="99"/>
    <w:semiHidden/>
    <w:locked/>
    <w:rPr>
      <w:sz w:val="2"/>
      <w:szCs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A0D40"/>
    <w:rPr>
      <w:rFonts w:ascii="Tahoma" w:hAnsi="Tahoma" w:cs="Tahoma"/>
      <w:sz w:val="16"/>
      <w:szCs w:val="16"/>
      <w:lang w:val="en-US" w:eastAsia="en-US"/>
    </w:rPr>
  </w:style>
  <w:style w:type="character" w:customStyle="1" w:styleId="Emphasis1">
    <w:name w:val="Emphasis1"/>
    <w:uiPriority w:val="99"/>
    <w:rsid w:val="009617B7"/>
    <w:rPr>
      <w:b/>
      <w:bCs/>
      <w:color w:val="000000"/>
    </w:rPr>
  </w:style>
  <w:style w:type="character" w:customStyle="1" w:styleId="st1">
    <w:name w:val="st1"/>
    <w:uiPriority w:val="99"/>
    <w:rsid w:val="009617B7"/>
    <w:rPr>
      <w:color w:val="auto"/>
      <w:sz w:val="27"/>
      <w:szCs w:val="27"/>
    </w:rPr>
  </w:style>
  <w:style w:type="paragraph" w:customStyle="1" w:styleId="bold">
    <w:name w:val="bold"/>
    <w:basedOn w:val="prastasis"/>
    <w:uiPriority w:val="99"/>
    <w:rsid w:val="00A16253"/>
    <w:pPr>
      <w:spacing w:before="100" w:beforeAutospacing="1" w:after="100" w:afterAutospacing="1"/>
    </w:pPr>
    <w:rPr>
      <w:b/>
      <w:bCs/>
      <w:sz w:val="24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rsid w:val="00270BEB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2B5987"/>
  </w:style>
  <w:style w:type="paragraph" w:styleId="Porat">
    <w:name w:val="footer"/>
    <w:basedOn w:val="prastasis"/>
    <w:link w:val="PoratDiagrama"/>
    <w:uiPriority w:val="99"/>
    <w:rsid w:val="00115DBB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F5E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481</Words>
  <Characters>2844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PRETENZIJAS</vt:lpstr>
    </vt:vector>
  </TitlesOfParts>
  <Company>RWS Group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PRETENZIJAS</dc:title>
  <dc:creator>User</dc:creator>
  <cp:lastModifiedBy>Rasa Gurčytė</cp:lastModifiedBy>
  <cp:revision>14</cp:revision>
  <cp:lastPrinted>2012-01-25T12:32:00Z</cp:lastPrinted>
  <dcterms:created xsi:type="dcterms:W3CDTF">2024-01-24T18:14:00Z</dcterms:created>
  <dcterms:modified xsi:type="dcterms:W3CDTF">2024-01-29T08:07:00Z</dcterms:modified>
</cp:coreProperties>
</file>