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DEFBB" w14:textId="77777777" w:rsidR="005218BD" w:rsidRPr="00181EE6" w:rsidRDefault="005218BD" w:rsidP="00181E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181EE6">
        <w:rPr>
          <w:rFonts w:ascii="Helvetica" w:hAnsi="Helvetica" w:cs="Arial"/>
          <w:sz w:val="20"/>
          <w:szCs w:val="24"/>
        </w:rPr>
        <w:t>1. Antikūnas, skirtas naudoti netipinio hemolizinio ureminio sindromo (aHUS) gydymui paciento organizme, kur antikūnas yra ekulizumabas.</w:t>
      </w:r>
    </w:p>
    <w:sectPr w:rsidR="005218BD" w:rsidRPr="00181EE6" w:rsidSect="00181EE6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7165" w14:textId="77777777" w:rsidR="0032079F" w:rsidRDefault="0032079F" w:rsidP="00181EE6">
      <w:pPr>
        <w:spacing w:after="0" w:line="240" w:lineRule="auto"/>
      </w:pPr>
      <w:r>
        <w:separator/>
      </w:r>
    </w:p>
  </w:endnote>
  <w:endnote w:type="continuationSeparator" w:id="0">
    <w:p w14:paraId="656B6039" w14:textId="77777777" w:rsidR="0032079F" w:rsidRDefault="0032079F" w:rsidP="00181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BDE8C" w14:textId="77777777" w:rsidR="0032079F" w:rsidRDefault="0032079F" w:rsidP="00181EE6">
      <w:pPr>
        <w:spacing w:after="0" w:line="240" w:lineRule="auto"/>
      </w:pPr>
      <w:r>
        <w:separator/>
      </w:r>
    </w:p>
  </w:footnote>
  <w:footnote w:type="continuationSeparator" w:id="0">
    <w:p w14:paraId="2FA9755B" w14:textId="77777777" w:rsidR="0032079F" w:rsidRDefault="0032079F" w:rsidP="00181E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5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18BD"/>
    <w:rsid w:val="00181EE6"/>
    <w:rsid w:val="0032079F"/>
    <w:rsid w:val="0052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6B01F"/>
  <w15:chartTrackingRefBased/>
  <w15:docId w15:val="{4B8C9904-3843-4649-878B-9539FDD9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8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EE6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181EE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81EE6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181E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120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2023-02-23T06:39:00Z</dcterms:created>
  <dcterms:modified xsi:type="dcterms:W3CDTF">2023-02-23T06:39:00Z</dcterms:modified>
</cp:coreProperties>
</file>