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DBEDF" w14:textId="1A6E83E5" w:rsidR="002F084A" w:rsidRPr="00DC6BBB" w:rsidRDefault="002F084A" w:rsidP="00DC6B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1.</w:t>
      </w:r>
      <w:r w:rsidR="00447A1B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="00CA5A1B" w:rsidRPr="00DC6BBB">
        <w:rPr>
          <w:rFonts w:ascii="Helvetica" w:eastAsia="Times New Roman" w:hAnsi="Helvetica" w:cs="Arial"/>
          <w:sz w:val="20"/>
          <w:szCs w:val="24"/>
          <w:lang w:eastAsia="lt-LT"/>
        </w:rPr>
        <w:t>šskir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tas antikūnas, kuris specifiškai suriša </w:t>
      </w:r>
      <w:proofErr w:type="spellStart"/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epitopą</w:t>
      </w:r>
      <w:proofErr w:type="spellEnd"/>
      <w:r w:rsidR="00B2534F" w:rsidRPr="00DC6BBB">
        <w:rPr>
          <w:rFonts w:ascii="Helvetica" w:eastAsia="Times New Roman" w:hAnsi="Helvetica" w:cs="Arial"/>
          <w:sz w:val="20"/>
          <w:szCs w:val="24"/>
          <w:lang w:eastAsia="lt-LT"/>
        </w:rPr>
        <w:t>, esantį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komplemento</w:t>
      </w:r>
      <w:proofErr w:type="spellEnd"/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komponento C1s baltym</w:t>
      </w:r>
      <w:r w:rsidR="00B2534F" w:rsidRPr="00DC6BBB">
        <w:rPr>
          <w:rFonts w:ascii="Helvetica" w:eastAsia="Times New Roman" w:hAnsi="Helvetica" w:cs="Arial"/>
          <w:sz w:val="20"/>
          <w:szCs w:val="24"/>
          <w:lang w:eastAsia="lt-LT"/>
        </w:rPr>
        <w:t>e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, kur antikūnas apima:</w:t>
      </w:r>
    </w:p>
    <w:p w14:paraId="1E903593" w14:textId="104AB709" w:rsidR="002F084A" w:rsidRPr="00DC6BBB" w:rsidRDefault="002F084A" w:rsidP="00DC6BB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CDR-L1, kurio</w:t>
      </w:r>
      <w:r w:rsidR="00B2534F" w:rsidRPr="00DC6BBB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aminorūgščių seka yra SEQ ID Nr. 32, CDR-L2, kurios aminorūgščių seka yra SEQ ID Nr. 33, CDR-L3, kurios aminorūgščių seka yra SEQ ID Nr. 3,</w:t>
      </w:r>
    </w:p>
    <w:p w14:paraId="1D640399" w14:textId="1D5C893F" w:rsidR="002F084A" w:rsidRPr="00DC6BBB" w:rsidRDefault="002F084A" w:rsidP="00DC6BB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CDR-H1, kurio</w:t>
      </w:r>
      <w:r w:rsidR="00B2534F" w:rsidRPr="00DC6BBB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aminorūgščių seka yra SEQ ID Nr. 34, CDR-H2, kurios aminorūgščių seka yra SEQ ID Nr. 35, ir CDR-H3, kurios aminorūgščių seka yra SEQ ID Nr. 36,</w:t>
      </w:r>
    </w:p>
    <w:p w14:paraId="23F593C2" w14:textId="77777777" w:rsidR="00447A1B" w:rsidRPr="00DC6BBB" w:rsidRDefault="002F084A" w:rsidP="00DC6BB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ir kur antikūnas suriša </w:t>
      </w:r>
      <w:proofErr w:type="spellStart"/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komplemento</w:t>
      </w:r>
      <w:proofErr w:type="spellEnd"/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C1s baltymą</w:t>
      </w:r>
      <w:r w:rsidR="00B2534F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r w:rsidR="008D1586" w:rsidRPr="00DC6BBB">
        <w:rPr>
          <w:rFonts w:ascii="Helvetica" w:eastAsia="Times New Roman" w:hAnsi="Helvetica" w:cs="Arial"/>
          <w:sz w:val="20"/>
          <w:szCs w:val="24"/>
          <w:lang w:eastAsia="lt-LT"/>
        </w:rPr>
        <w:t>esant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disociacijos konstanta</w:t>
      </w:r>
      <w:r w:rsidR="008D1586" w:rsidRPr="00DC6BBB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(K</w:t>
      </w:r>
      <w:r w:rsidRPr="00DC6BBB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D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) ne daugiau kaip 0,5 </w:t>
      </w:r>
      <w:proofErr w:type="spellStart"/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nM</w:t>
      </w:r>
      <w:proofErr w:type="spellEnd"/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64D64895" w14:textId="77777777" w:rsidR="00447A1B" w:rsidRPr="00DC6BBB" w:rsidRDefault="00447A1B" w:rsidP="00DC6BB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11C6EA49" w14:textId="65E79A4F" w:rsidR="00440F72" w:rsidRPr="00DC6BBB" w:rsidRDefault="002F084A" w:rsidP="00DC6B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2. Antikūnas pagal 1 punktą, kur antikūnas apima antikūno lengvosios grandinės kintamą sritį, apimančią aminorūgščių seką, kuri yra bent 90 % identiška aminorūgščių sekai, </w:t>
      </w:r>
      <w:r w:rsidR="00440F72" w:rsidRPr="00DC6BBB">
        <w:rPr>
          <w:rFonts w:ascii="Helvetica" w:eastAsia="Times New Roman" w:hAnsi="Helvetica" w:cs="Arial"/>
          <w:sz w:val="20"/>
          <w:szCs w:val="24"/>
          <w:lang w:eastAsia="lt-LT"/>
        </w:rPr>
        <w:t>nurody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tai SEQ ID Nr. 37, ir sunkiosios grandinės kintamą sritį, apimančią aminorūgščių sek</w:t>
      </w:r>
      <w:r w:rsidR="00440F72" w:rsidRPr="00DC6BBB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, kuri yra bent 90% identiška aminorūgščių sekai, </w:t>
      </w:r>
      <w:r w:rsidR="00440F72" w:rsidRPr="00DC6BBB">
        <w:rPr>
          <w:rFonts w:ascii="Helvetica" w:eastAsia="Times New Roman" w:hAnsi="Helvetica" w:cs="Arial"/>
          <w:sz w:val="20"/>
          <w:szCs w:val="24"/>
          <w:lang w:eastAsia="lt-LT"/>
        </w:rPr>
        <w:t>nurody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tai SEQ </w:t>
      </w:r>
      <w:r w:rsidR="00440F72" w:rsidRPr="00DC6BBB">
        <w:rPr>
          <w:rFonts w:ascii="Helvetica" w:eastAsia="Times New Roman" w:hAnsi="Helvetica" w:cs="Arial"/>
          <w:sz w:val="20"/>
          <w:szCs w:val="24"/>
          <w:lang w:eastAsia="lt-LT"/>
        </w:rPr>
        <w:t>ID Nr. 38.</w:t>
      </w:r>
    </w:p>
    <w:p w14:paraId="0117A8B0" w14:textId="77777777" w:rsidR="00DC6BBB" w:rsidRPr="00DC6BBB" w:rsidRDefault="00DC6BBB" w:rsidP="00DC6BB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08A31F66" w14:textId="751B4AE0" w:rsidR="002F084A" w:rsidRPr="00DC6BBB" w:rsidRDefault="002F084A" w:rsidP="00DC6B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3.</w:t>
      </w:r>
      <w:r w:rsidR="00447A1B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Antikūnas pagal 1 punktą, kur antikūnas apima:</w:t>
      </w:r>
    </w:p>
    <w:p w14:paraId="74F84BAB" w14:textId="5A421AA3" w:rsidR="002F084A" w:rsidRPr="00DC6BBB" w:rsidRDefault="002F084A" w:rsidP="00DC6BB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(i) antikūno sunkiosios grandinės </w:t>
      </w:r>
      <w:bookmarkStart w:id="0" w:name="_Hlk101716979"/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kintam</w:t>
      </w:r>
      <w:r w:rsidR="00440F72" w:rsidRPr="00DC6BBB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srit</w:t>
      </w:r>
      <w:r w:rsidR="00440F72" w:rsidRPr="00DC6BBB">
        <w:rPr>
          <w:rFonts w:ascii="Helvetica" w:eastAsia="Times New Roman" w:hAnsi="Helvetica" w:cs="Arial"/>
          <w:sz w:val="20"/>
          <w:szCs w:val="24"/>
          <w:lang w:eastAsia="lt-LT"/>
        </w:rPr>
        <w:t>į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, apiman</w:t>
      </w:r>
      <w:r w:rsidR="00440F72" w:rsidRPr="00DC6BBB">
        <w:rPr>
          <w:rFonts w:ascii="Helvetica" w:eastAsia="Times New Roman" w:hAnsi="Helvetica" w:cs="Arial"/>
          <w:sz w:val="20"/>
          <w:szCs w:val="24"/>
          <w:lang w:eastAsia="lt-LT"/>
        </w:rPr>
        <w:t>čią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bookmarkEnd w:id="0"/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aminorūgščių seką, kuri yra bent 90% identiška aminorūgščių sekai, nurodytai SEQ ID Nr. 39, ir lengvosios grandinės kintamą sritį, apimančią aminorūgščių seką, kuri yra bent 90% identiška aminorūgščių sekai, </w:t>
      </w:r>
      <w:r w:rsidR="00440F72" w:rsidRPr="00DC6BBB">
        <w:rPr>
          <w:rFonts w:ascii="Helvetica" w:eastAsia="Times New Roman" w:hAnsi="Helvetica" w:cs="Arial"/>
          <w:sz w:val="20"/>
          <w:szCs w:val="24"/>
          <w:lang w:eastAsia="lt-LT"/>
        </w:rPr>
        <w:t>nurodytai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43;</w:t>
      </w:r>
    </w:p>
    <w:p w14:paraId="747BCEC8" w14:textId="346C97B8" w:rsidR="002F084A" w:rsidRPr="00DC6BBB" w:rsidRDefault="002F084A" w:rsidP="00DC6BB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(ii) antikūno sunkiosios grandinės</w:t>
      </w:r>
      <w:r w:rsidR="00BD7267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kintamą sritį, apimančią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aminorūgščių seką, kuri yra bent 90% identiška aminorūgščių sekai, nurodytai SEQ ID Nr. 39, ir lengvosios grandinės kintamą sritį, apimančią aminorūgščių seką, kuri yra bent 90% identiška aminorūgščių sekai, </w:t>
      </w:r>
      <w:r w:rsidR="00BD7267" w:rsidRPr="00DC6BBB">
        <w:rPr>
          <w:rFonts w:ascii="Helvetica" w:eastAsia="Times New Roman" w:hAnsi="Helvetica" w:cs="Arial"/>
          <w:sz w:val="20"/>
          <w:szCs w:val="24"/>
          <w:lang w:eastAsia="lt-LT"/>
        </w:rPr>
        <w:t>nurodytai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44;</w:t>
      </w:r>
    </w:p>
    <w:p w14:paraId="4CB8B96E" w14:textId="50DA2CB1" w:rsidR="002F084A" w:rsidRPr="00DC6BBB" w:rsidRDefault="002F084A" w:rsidP="00DC6BB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(iii) antikūno sunkiosios grandinės </w:t>
      </w:r>
      <w:r w:rsidR="00066315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kintamą sritį, apimančią 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aminorūgščių seką, kuri yra bent 90% identiška aminorūgščių sekai, nurodytai SEQ ID Nr. 39, ir lengvosios grandinės kintamą sritį, apimančią aminorūgščių seką, kuri yra bent 90% identiška aminorūgščių sekai, </w:t>
      </w:r>
      <w:r w:rsidR="00066315" w:rsidRPr="00DC6BBB">
        <w:rPr>
          <w:rFonts w:ascii="Helvetica" w:eastAsia="Times New Roman" w:hAnsi="Helvetica" w:cs="Arial"/>
          <w:sz w:val="20"/>
          <w:szCs w:val="24"/>
          <w:lang w:eastAsia="lt-LT"/>
        </w:rPr>
        <w:t>nurodytai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45;</w:t>
      </w:r>
    </w:p>
    <w:p w14:paraId="65AE84A7" w14:textId="1CE5285E" w:rsidR="002F084A" w:rsidRPr="00DC6BBB" w:rsidRDefault="002F084A" w:rsidP="00DC6BB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(iv) antikūno sunkiosios grandinės kintamą sritį, apimančią aminorūgščių seką, kuri yra bent 90% identiška aminorūgščių sekai, </w:t>
      </w:r>
      <w:r w:rsidR="00066315" w:rsidRPr="00DC6BBB">
        <w:rPr>
          <w:rFonts w:ascii="Helvetica" w:eastAsia="Times New Roman" w:hAnsi="Helvetica" w:cs="Arial"/>
          <w:sz w:val="20"/>
          <w:szCs w:val="24"/>
          <w:lang w:eastAsia="lt-LT"/>
        </w:rPr>
        <w:t>nurodytai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40, ir lengvosios grandinės kintamą sritį, apimančią aminorūgščių seką, kuri yra bent 90% identiška aminorūgščių sekai, </w:t>
      </w:r>
      <w:r w:rsidR="00066315" w:rsidRPr="00DC6BBB">
        <w:rPr>
          <w:rFonts w:ascii="Helvetica" w:eastAsia="Times New Roman" w:hAnsi="Helvetica" w:cs="Arial"/>
          <w:sz w:val="20"/>
          <w:szCs w:val="24"/>
          <w:lang w:eastAsia="lt-LT"/>
        </w:rPr>
        <w:t>nurodytai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43;</w:t>
      </w:r>
    </w:p>
    <w:p w14:paraId="7323F6BF" w14:textId="086FFC80" w:rsidR="002F084A" w:rsidRPr="00DC6BBB" w:rsidRDefault="002F084A" w:rsidP="00DC6BB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(v) antikūno sunkiosios grandinės kintamą sritį, apimančią aminorūgščių seką, kuri yra bent 90% identiška aminorūgščių sekai, </w:t>
      </w:r>
      <w:r w:rsidR="00066315" w:rsidRPr="00DC6BBB">
        <w:rPr>
          <w:rFonts w:ascii="Helvetica" w:eastAsia="Times New Roman" w:hAnsi="Helvetica" w:cs="Arial"/>
          <w:sz w:val="20"/>
          <w:szCs w:val="24"/>
          <w:lang w:eastAsia="lt-LT"/>
        </w:rPr>
        <w:t>nurodytai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40, ir lengvosios grandinės kintamą sritį, apimančią aminorūgščių seką, kuri yra bent 90% identiška aminorūgščių sekai, </w:t>
      </w:r>
      <w:bookmarkStart w:id="1" w:name="_Hlk101729333"/>
      <w:r w:rsidR="00066315" w:rsidRPr="00DC6BBB">
        <w:rPr>
          <w:rFonts w:ascii="Helvetica" w:eastAsia="Times New Roman" w:hAnsi="Helvetica" w:cs="Arial"/>
          <w:sz w:val="20"/>
          <w:szCs w:val="24"/>
          <w:lang w:eastAsia="lt-LT"/>
        </w:rPr>
        <w:t>nurodytai</w:t>
      </w:r>
      <w:bookmarkEnd w:id="1"/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44;</w:t>
      </w:r>
    </w:p>
    <w:p w14:paraId="45BDF5CC" w14:textId="5099E6D6" w:rsidR="002F084A" w:rsidRPr="00DC6BBB" w:rsidRDefault="002F084A" w:rsidP="00DC6BB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(vi) antikūno sunkiosios grandinės kintamą sritį, apimančią aminorūgščių seką, kuri yra bent 90% identiška aminorūgščių sekai, </w:t>
      </w:r>
      <w:r w:rsidR="009C5796" w:rsidRPr="00DC6BBB">
        <w:rPr>
          <w:rFonts w:ascii="Helvetica" w:eastAsia="Times New Roman" w:hAnsi="Helvetica" w:cs="Arial"/>
          <w:sz w:val="20"/>
          <w:szCs w:val="24"/>
          <w:lang w:eastAsia="lt-LT"/>
        </w:rPr>
        <w:t>nurodytai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40, ir lengvosios grandinės kintamą sritį, apimančią aminorūgščių seką, kuri yra bent 90% identiška aminorūgščių sekai, </w:t>
      </w:r>
      <w:r w:rsidR="005B2843" w:rsidRPr="00DC6BBB">
        <w:rPr>
          <w:rFonts w:ascii="Helvetica" w:eastAsia="Times New Roman" w:hAnsi="Helvetica" w:cs="Arial"/>
          <w:sz w:val="20"/>
          <w:szCs w:val="24"/>
          <w:lang w:eastAsia="lt-LT"/>
        </w:rPr>
        <w:t>nurodytai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45;</w:t>
      </w:r>
    </w:p>
    <w:p w14:paraId="238B690E" w14:textId="2F25D4BA" w:rsidR="002F084A" w:rsidRPr="00DC6BBB" w:rsidRDefault="002F084A" w:rsidP="00DC6BB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(vii) antikūno sunkiosios grandinės</w:t>
      </w:r>
      <w:r w:rsidR="0085076B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kintamą sritį, apimančią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aminorūgščių seką, kuri yra bent 90% identiška aminorūgščių sekai, </w:t>
      </w:r>
      <w:r w:rsidR="005B2843" w:rsidRPr="00DC6BBB">
        <w:rPr>
          <w:rFonts w:ascii="Helvetica" w:eastAsia="Times New Roman" w:hAnsi="Helvetica" w:cs="Arial"/>
          <w:sz w:val="20"/>
          <w:szCs w:val="24"/>
          <w:lang w:eastAsia="lt-LT"/>
        </w:rPr>
        <w:t>nurodytai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41, ir lengvosios grandinės kintamą sritį, apimančią aminorūgščių seką, kuri yra bent 90% identiška aminorūgščių sekai, </w:t>
      </w:r>
      <w:r w:rsidR="005B2843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nurodytai 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SEQ ID Nr. 43;</w:t>
      </w:r>
    </w:p>
    <w:p w14:paraId="3649FEAD" w14:textId="2272B85F" w:rsidR="002F084A" w:rsidRPr="00DC6BBB" w:rsidRDefault="002F084A" w:rsidP="00DC6BB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(viii) antikūno sunkiosios grandinės </w:t>
      </w:r>
      <w:r w:rsidR="0085076B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kintamą sritį, apimančią 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aminorūgščių seką, kuri yra bent 90% identiška aminorūgščių sekai, nurodytai SEQ ID Nr. 41, ir lengvosios grandinės kintamą sritį, apimančią aminorūgščių seką, kuri yra bent 90% identiška aminorūgščių sekai, </w:t>
      </w:r>
      <w:r w:rsidR="005B2843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nurodytai 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SEQ ID Nr. 44;</w:t>
      </w:r>
    </w:p>
    <w:p w14:paraId="4FBBFC5A" w14:textId="7AF83437" w:rsidR="002F084A" w:rsidRPr="00DC6BBB" w:rsidRDefault="002F084A" w:rsidP="00DC6BB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(ix) antikūno sunkiosios grandinės </w:t>
      </w:r>
      <w:r w:rsidR="0085076B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kintamą sritį, apimančią 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aminorūgščių seką, kuri yra bent 90% identiška aminorūgščių sekai,</w:t>
      </w:r>
      <w:r w:rsidR="005B2843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nurodytai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41, ir lengvosios grandinės kintamą sritį, apimančią aminorūgščių seką, kuri yra bent 90% identiška aminorūgščių sekai, </w:t>
      </w:r>
      <w:r w:rsidR="005B2843" w:rsidRPr="00DC6BBB">
        <w:rPr>
          <w:rFonts w:ascii="Helvetica" w:eastAsia="Times New Roman" w:hAnsi="Helvetica" w:cs="Arial"/>
          <w:sz w:val="20"/>
          <w:szCs w:val="24"/>
          <w:lang w:eastAsia="lt-LT"/>
        </w:rPr>
        <w:t>nurodytai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45;</w:t>
      </w:r>
    </w:p>
    <w:p w14:paraId="79CCE9CD" w14:textId="2EBD4869" w:rsidR="002F084A" w:rsidRPr="00DC6BBB" w:rsidRDefault="002F084A" w:rsidP="00DC6BB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(x) antikūno sunkiosios grandinės</w:t>
      </w:r>
      <w:r w:rsidR="0085076B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kintamą sritį, apimančią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aminorūgščių seką, kuri yra bent 90% identiška aminorūgščių sekai, nurodytai SEQ ID Nr. 42, ir lengvosios grandinės kintamą sritį, apimančią aminorūgščių seką, kuri yra bent 90% identiška aminorūgščių sekai, </w:t>
      </w:r>
      <w:r w:rsidR="005B2843" w:rsidRPr="00DC6BBB">
        <w:rPr>
          <w:rFonts w:ascii="Helvetica" w:eastAsia="Times New Roman" w:hAnsi="Helvetica" w:cs="Arial"/>
          <w:sz w:val="20"/>
          <w:szCs w:val="24"/>
          <w:lang w:eastAsia="lt-LT"/>
        </w:rPr>
        <w:t>nurodytai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43;</w:t>
      </w:r>
    </w:p>
    <w:p w14:paraId="453246E6" w14:textId="5A336CD5" w:rsidR="002F084A" w:rsidRPr="00DC6BBB" w:rsidRDefault="002F084A" w:rsidP="00DC6BB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lastRenderedPageBreak/>
        <w:t xml:space="preserve">(xi) antikūno sunkiosios grandinės </w:t>
      </w:r>
      <w:r w:rsidR="0085076B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kintamą sritį, apimančią 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aminorūgščių seką, kuri yra bent 90% identiška aminorūgščių sekai,</w:t>
      </w:r>
      <w:r w:rsidR="005B2843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nurodytai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42, ir lengvosios grandinės kintamą sritį, apimančią aminorūgščių seką, kuri yra bent 90% identiška aminorūgščių sekai, </w:t>
      </w:r>
      <w:r w:rsidR="005B2843" w:rsidRPr="00DC6BBB">
        <w:rPr>
          <w:rFonts w:ascii="Helvetica" w:eastAsia="Times New Roman" w:hAnsi="Helvetica" w:cs="Arial"/>
          <w:sz w:val="20"/>
          <w:szCs w:val="24"/>
          <w:lang w:eastAsia="lt-LT"/>
        </w:rPr>
        <w:t>nurodytai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44; arba</w:t>
      </w:r>
    </w:p>
    <w:p w14:paraId="34D6AEE9" w14:textId="03AF0F34" w:rsidR="002F084A" w:rsidRPr="00DC6BBB" w:rsidRDefault="002F084A" w:rsidP="00DC6BB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(xii) antikūno sunkiosios grandinės </w:t>
      </w:r>
      <w:r w:rsidR="0085076B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kintamą sritį, apimančią 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aminorūgščių seką, kuri yra bent 90% identiška aminorūgščių sekai, nurodytai SEQ ID Nr. 42, ir lengvosios grandinės kintamą sritį, apimančią aminorūgščių seką, kuri yra bent 90% identiška aminorūgščių sekai, </w:t>
      </w:r>
      <w:r w:rsidR="005B2843" w:rsidRPr="00DC6BBB">
        <w:rPr>
          <w:rFonts w:ascii="Helvetica" w:eastAsia="Times New Roman" w:hAnsi="Helvetica" w:cs="Arial"/>
          <w:sz w:val="20"/>
          <w:szCs w:val="24"/>
          <w:lang w:eastAsia="lt-LT"/>
        </w:rPr>
        <w:t>nurodytai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45.</w:t>
      </w:r>
    </w:p>
    <w:p w14:paraId="6DE6F842" w14:textId="77777777" w:rsidR="00DC6BBB" w:rsidRPr="00DC6BBB" w:rsidRDefault="00DC6BBB" w:rsidP="00DC6BB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5E96643A" w14:textId="625A29F0" w:rsidR="002F084A" w:rsidRPr="00DC6BBB" w:rsidRDefault="002F084A" w:rsidP="00DC6B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4.</w:t>
      </w:r>
      <w:r w:rsidR="00447A1B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Antikūnas pagal 1 punktą, kur antikūnas apima:</w:t>
      </w:r>
    </w:p>
    <w:p w14:paraId="4A8FF3F7" w14:textId="6A39E27B" w:rsidR="002F084A" w:rsidRPr="00DC6BBB" w:rsidRDefault="002F084A" w:rsidP="00DC6BB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(i) antikūno sunkiosios grandinės </w:t>
      </w:r>
      <w:r w:rsidR="0085076B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kintamą sritį, apimančią 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aminorūgščių seką, kuri yra bent 95% identiška aminorūgščių sekai, nurodytai SEQ ID Nr. 39, ir lengvosios grandinės kintamą sritį, apimančią aminorūgščių seką, kuri yra bent 95% identiška aminorūgščių sekai, </w:t>
      </w:r>
      <w:r w:rsidR="005B2843" w:rsidRPr="00DC6BBB">
        <w:rPr>
          <w:rFonts w:ascii="Helvetica" w:eastAsia="Times New Roman" w:hAnsi="Helvetica" w:cs="Arial"/>
          <w:sz w:val="20"/>
          <w:szCs w:val="24"/>
          <w:lang w:eastAsia="lt-LT"/>
        </w:rPr>
        <w:t>nurodytai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43;</w:t>
      </w:r>
    </w:p>
    <w:p w14:paraId="0F8F1DFB" w14:textId="69956E40" w:rsidR="002F084A" w:rsidRPr="00DC6BBB" w:rsidRDefault="002F084A" w:rsidP="00DC6BB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(ii) antikūno sunkiosios grandinės</w:t>
      </w:r>
      <w:r w:rsidR="0085076B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kintamą sritį, apimančią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aminorūgščių seką, kuri yra bent 95% identiška aminorūgščių sekai, nurodytai SEQ ID Nr. 39, ir lengvosios grandinės kintamą sritį, apimančią aminorūgščių seką, kuri yra bent 95% identiška aminorūgščių sekai, </w:t>
      </w:r>
      <w:r w:rsidR="005B2843" w:rsidRPr="00DC6BBB">
        <w:rPr>
          <w:rFonts w:ascii="Helvetica" w:eastAsia="Times New Roman" w:hAnsi="Helvetica" w:cs="Arial"/>
          <w:sz w:val="20"/>
          <w:szCs w:val="24"/>
          <w:lang w:eastAsia="lt-LT"/>
        </w:rPr>
        <w:t>nurodytai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44;</w:t>
      </w:r>
    </w:p>
    <w:p w14:paraId="007DD219" w14:textId="355F78D3" w:rsidR="002F084A" w:rsidRPr="00DC6BBB" w:rsidRDefault="002F084A" w:rsidP="00DC6BB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(iii) antikūno sunkiosios grandinės </w:t>
      </w:r>
      <w:r w:rsidR="0085076B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kintamą sritį, apimančią 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aminorūgščių seką, kuri yra bent 95% identiška aminorūgščių sekai, </w:t>
      </w:r>
      <w:r w:rsidR="005B2843" w:rsidRPr="00DC6BBB">
        <w:rPr>
          <w:rFonts w:ascii="Helvetica" w:eastAsia="Times New Roman" w:hAnsi="Helvetica" w:cs="Arial"/>
          <w:sz w:val="20"/>
          <w:szCs w:val="24"/>
          <w:lang w:eastAsia="lt-LT"/>
        </w:rPr>
        <w:t>nurodytai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39, ir lengvosios grandinės kintamą sritį, apimančią aminorūgščių seką, kuri yra bent 95% identiška aminorūgščių sekai, </w:t>
      </w:r>
      <w:r w:rsidR="005B2843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nurodytai 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SEQ ID Nr. 45;</w:t>
      </w:r>
    </w:p>
    <w:p w14:paraId="75F1A720" w14:textId="790219D4" w:rsidR="002F084A" w:rsidRPr="00DC6BBB" w:rsidRDefault="002F084A" w:rsidP="00DC6BB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(iv) antikūno sunkiosios grandinės kintamą sritį, apimančią aminorūgščių seką, kuri yra bent 95% identiška aminorūgščių sekai,</w:t>
      </w:r>
      <w:r w:rsidR="005B2843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nurodytai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40, ir lengvosios grandinės kintamą sritį, apimančią aminorūgščių seką, kuri yra bent 95% identiška aminorūgščių sekai, </w:t>
      </w:r>
      <w:r w:rsidR="005B2843" w:rsidRPr="00DC6BBB">
        <w:rPr>
          <w:rFonts w:ascii="Helvetica" w:eastAsia="Times New Roman" w:hAnsi="Helvetica" w:cs="Arial"/>
          <w:sz w:val="20"/>
          <w:szCs w:val="24"/>
          <w:lang w:eastAsia="lt-LT"/>
        </w:rPr>
        <w:t>nurodytai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43;</w:t>
      </w:r>
    </w:p>
    <w:p w14:paraId="52A5709C" w14:textId="22EF492D" w:rsidR="002F084A" w:rsidRPr="00DC6BBB" w:rsidRDefault="002F084A" w:rsidP="00DC6BB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(v) antikūno sunkiosios grandinės kintamą sritį, apimančią aminorūgščių seką, kuri yra bent 95% identiška aminorūgščių sekai, </w:t>
      </w:r>
      <w:r w:rsidR="00840D80" w:rsidRPr="00DC6BBB">
        <w:rPr>
          <w:rFonts w:ascii="Helvetica" w:eastAsia="Times New Roman" w:hAnsi="Helvetica" w:cs="Arial"/>
          <w:sz w:val="20"/>
          <w:szCs w:val="24"/>
          <w:lang w:eastAsia="lt-LT"/>
        </w:rPr>
        <w:t>nurody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tai SEQ ID Nr. 40, ir lengvosios grandinės kintamą sritį, apimančią aminorūgščių seką, kuri yra bent 95% identiška aminorūgščių sekai, </w:t>
      </w:r>
      <w:r w:rsidR="00840D80" w:rsidRPr="00DC6BBB">
        <w:rPr>
          <w:rFonts w:ascii="Helvetica" w:eastAsia="Times New Roman" w:hAnsi="Helvetica" w:cs="Arial"/>
          <w:sz w:val="20"/>
          <w:szCs w:val="24"/>
          <w:lang w:eastAsia="lt-LT"/>
        </w:rPr>
        <w:t>nurodytai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44;</w:t>
      </w:r>
    </w:p>
    <w:p w14:paraId="2FDDEAF6" w14:textId="636E5B50" w:rsidR="002F084A" w:rsidRPr="00DC6BBB" w:rsidRDefault="002F084A" w:rsidP="00DC6BB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(vi) antikūno sunkiosios grandinės kintamą sritį, apimančią aminorūgščių seką, kuri yra bent 95% identiška aminorūgščių sekai, </w:t>
      </w:r>
      <w:r w:rsidR="00840D80" w:rsidRPr="00DC6BBB">
        <w:rPr>
          <w:rFonts w:ascii="Helvetica" w:eastAsia="Times New Roman" w:hAnsi="Helvetica" w:cs="Arial"/>
          <w:sz w:val="20"/>
          <w:szCs w:val="24"/>
          <w:lang w:eastAsia="lt-LT"/>
        </w:rPr>
        <w:t>nurodytai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40, ir lengvosios grandinės kintamą sritį, apimančią aminorūgščių seką, kuri yra bent 95% identiška aminorūgščių sekai, </w:t>
      </w:r>
      <w:r w:rsidR="00840D80" w:rsidRPr="00DC6BBB">
        <w:rPr>
          <w:rFonts w:ascii="Helvetica" w:eastAsia="Times New Roman" w:hAnsi="Helvetica" w:cs="Arial"/>
          <w:sz w:val="20"/>
          <w:szCs w:val="24"/>
          <w:lang w:eastAsia="lt-LT"/>
        </w:rPr>
        <w:t>nurodytai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45;</w:t>
      </w:r>
    </w:p>
    <w:p w14:paraId="6F8BB47C" w14:textId="13EFF388" w:rsidR="002F084A" w:rsidRPr="00DC6BBB" w:rsidRDefault="002F084A" w:rsidP="00DC6BB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(vii) antikūno sunkiosios grandinės </w:t>
      </w:r>
      <w:r w:rsidR="00840D80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kintamą sritį, apimančią 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aminorūgščių seką, kuri yra bent 95% identiška aminorūgščių sekai, </w:t>
      </w:r>
      <w:r w:rsidR="00840D80" w:rsidRPr="00DC6BBB">
        <w:rPr>
          <w:rFonts w:ascii="Helvetica" w:eastAsia="Times New Roman" w:hAnsi="Helvetica" w:cs="Arial"/>
          <w:sz w:val="20"/>
          <w:szCs w:val="24"/>
          <w:lang w:eastAsia="lt-LT"/>
        </w:rPr>
        <w:t>nurodytai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41, ir lengvosios grandinės kintamą sritį, apimančią aminorūgščių seką, kuri yra bent 95% identiška aminorūgščių sekai, </w:t>
      </w:r>
      <w:r w:rsidR="00840D80" w:rsidRPr="00DC6BBB">
        <w:rPr>
          <w:rFonts w:ascii="Helvetica" w:eastAsia="Times New Roman" w:hAnsi="Helvetica" w:cs="Arial"/>
          <w:sz w:val="20"/>
          <w:szCs w:val="24"/>
          <w:lang w:eastAsia="lt-LT"/>
        </w:rPr>
        <w:t>nurodytai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43;</w:t>
      </w:r>
    </w:p>
    <w:p w14:paraId="5D97E012" w14:textId="7AC3D597" w:rsidR="002F084A" w:rsidRPr="00DC6BBB" w:rsidRDefault="002F084A" w:rsidP="00DC6BB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(viii) antikūno sunkiosios grandinės </w:t>
      </w:r>
      <w:r w:rsidR="00840D80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kintamą sritį, apimančią 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aminorūgščių seką, kuri yra bent 95% identiška aminorūgščių sekai, nurodytai SEQ ID Nr. 41, ir lengvosios grandinės kintamą sritį, apimančią aminorūgščių seką, kuri yra bent 95% identiška aminorūgščių sekai, </w:t>
      </w:r>
      <w:r w:rsidR="00840D80" w:rsidRPr="00DC6BBB">
        <w:rPr>
          <w:rFonts w:ascii="Helvetica" w:eastAsia="Times New Roman" w:hAnsi="Helvetica" w:cs="Arial"/>
          <w:sz w:val="20"/>
          <w:szCs w:val="24"/>
          <w:lang w:eastAsia="lt-LT"/>
        </w:rPr>
        <w:t>nurodytai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44;</w:t>
      </w:r>
    </w:p>
    <w:p w14:paraId="267C0974" w14:textId="2040B55C" w:rsidR="002F084A" w:rsidRPr="00DC6BBB" w:rsidRDefault="002F084A" w:rsidP="00DC6BB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(ix) antikūno sunkiosios grandinės </w:t>
      </w:r>
      <w:r w:rsidR="00840D80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kintamą sritį, apimančią 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aminorūgščių seką, kuri yra bent 95% identiška aminorūgščių sekai, nurodytai SEQ ID Nr. 41, ir lengvosios grandinės kintamą sritį, apimančią aminorūgščių seką, kuri yra bent 95% identiška aminorūgščių sekai, </w:t>
      </w:r>
      <w:r w:rsidR="00840D80" w:rsidRPr="00DC6BBB">
        <w:rPr>
          <w:rFonts w:ascii="Helvetica" w:eastAsia="Times New Roman" w:hAnsi="Helvetica" w:cs="Arial"/>
          <w:sz w:val="20"/>
          <w:szCs w:val="24"/>
          <w:lang w:eastAsia="lt-LT"/>
        </w:rPr>
        <w:t>nurodytai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45;</w:t>
      </w:r>
    </w:p>
    <w:p w14:paraId="7F8364BA" w14:textId="7C40EE80" w:rsidR="002F084A" w:rsidRPr="00DC6BBB" w:rsidRDefault="002F084A" w:rsidP="00DC6BB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(x) antikūno sunkiosios grandinės</w:t>
      </w:r>
      <w:r w:rsidR="00840D80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kintamą sritį, apimančią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aminorūgščių seką, kuri yra bent 95% identiška aminorūgščių sekai, </w:t>
      </w:r>
      <w:r w:rsidR="00840D80" w:rsidRPr="00DC6BBB">
        <w:rPr>
          <w:rFonts w:ascii="Helvetica" w:eastAsia="Times New Roman" w:hAnsi="Helvetica" w:cs="Arial"/>
          <w:sz w:val="20"/>
          <w:szCs w:val="24"/>
          <w:lang w:eastAsia="lt-LT"/>
        </w:rPr>
        <w:t>nurodytai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42, ir lengvosios grandinės kintamą sritį, apimančią aminorūgščių seką, kuri yra bent 95% identiška aminorūgščių sekai, </w:t>
      </w:r>
      <w:r w:rsidR="00840D80" w:rsidRPr="00DC6BBB">
        <w:rPr>
          <w:rFonts w:ascii="Helvetica" w:eastAsia="Times New Roman" w:hAnsi="Helvetica" w:cs="Arial"/>
          <w:sz w:val="20"/>
          <w:szCs w:val="24"/>
          <w:lang w:eastAsia="lt-LT"/>
        </w:rPr>
        <w:t>nurodytai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43;</w:t>
      </w:r>
    </w:p>
    <w:p w14:paraId="6EBC3F9C" w14:textId="066B64A3" w:rsidR="002F084A" w:rsidRPr="00DC6BBB" w:rsidRDefault="002F084A" w:rsidP="00DC6BB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(xi) antikūno sunkiosios grandinės</w:t>
      </w:r>
      <w:r w:rsidR="00840D80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kintamą sritį, apimančią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aminorūgščių seką, kuri yra bent 95% identiška aminorūgščių sekai, </w:t>
      </w:r>
      <w:r w:rsidR="00840D80" w:rsidRPr="00DC6BBB">
        <w:rPr>
          <w:rFonts w:ascii="Helvetica" w:eastAsia="Times New Roman" w:hAnsi="Helvetica" w:cs="Arial"/>
          <w:sz w:val="20"/>
          <w:szCs w:val="24"/>
          <w:lang w:eastAsia="lt-LT"/>
        </w:rPr>
        <w:t>nurodytai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42, ir lengvosios grandinės kintamąją sritį, apimančią aminorūgščių seką, kuri yra bent 95% identiška aminorūgščių sekai, </w:t>
      </w:r>
      <w:r w:rsidR="00840D80" w:rsidRPr="00DC6BBB">
        <w:rPr>
          <w:rFonts w:ascii="Helvetica" w:eastAsia="Times New Roman" w:hAnsi="Helvetica" w:cs="Arial"/>
          <w:sz w:val="20"/>
          <w:szCs w:val="24"/>
          <w:lang w:eastAsia="lt-LT"/>
        </w:rPr>
        <w:t>nurodytai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44; arba</w:t>
      </w:r>
    </w:p>
    <w:p w14:paraId="46E1303E" w14:textId="4B43D73F" w:rsidR="002F084A" w:rsidRPr="00DC6BBB" w:rsidRDefault="002F084A" w:rsidP="00DC6BB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(xii) antikūno sunkiosios grandinės </w:t>
      </w:r>
      <w:r w:rsidR="00840D80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kintamą sritį, apimančią 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aminorūgščių seką, kuri yra bent 95% identiška aminorūgščių sekai, nurodytai SEQ ID Nr. 42, ir lengvosios grandinės kintamą sritį, apimančią aminorūgščių seką, kuri yra bent 95% identiška aminorūgščių sekai, </w:t>
      </w:r>
      <w:r w:rsidR="00840D80" w:rsidRPr="00DC6BBB">
        <w:rPr>
          <w:rFonts w:ascii="Helvetica" w:eastAsia="Times New Roman" w:hAnsi="Helvetica" w:cs="Arial"/>
          <w:sz w:val="20"/>
          <w:szCs w:val="24"/>
          <w:lang w:eastAsia="lt-LT"/>
        </w:rPr>
        <w:t>nurodytai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45.</w:t>
      </w:r>
    </w:p>
    <w:p w14:paraId="48049C01" w14:textId="47F0F736" w:rsidR="002F084A" w:rsidRPr="00DC6BBB" w:rsidRDefault="002F084A" w:rsidP="00DC6BB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73E1B843" w14:textId="69D1DB74" w:rsidR="002F084A" w:rsidRPr="00DC6BBB" w:rsidRDefault="002F084A" w:rsidP="00DC6B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5.</w:t>
      </w:r>
      <w:r w:rsidR="00DC6BBB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Antikūnas pagal 1 arba 2 punktą, kur antikūnas apima:</w:t>
      </w:r>
    </w:p>
    <w:p w14:paraId="3566E3BE" w14:textId="6DD3C851" w:rsidR="002F084A" w:rsidRPr="00DC6BBB" w:rsidRDefault="002F084A" w:rsidP="00DC6BB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(i) antikūno sunkiosios grandinė</w:t>
      </w:r>
      <w:r w:rsidR="00802230" w:rsidRPr="00DC6BBB">
        <w:rPr>
          <w:rFonts w:ascii="Helvetica" w:eastAsia="Times New Roman" w:hAnsi="Helvetica" w:cs="Arial"/>
          <w:sz w:val="20"/>
          <w:szCs w:val="24"/>
          <w:lang w:eastAsia="lt-LT"/>
        </w:rPr>
        <w:t>s kintamą sritį, apimančią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aminorūgščių seką, </w:t>
      </w:r>
      <w:r w:rsidR="00802230" w:rsidRPr="00DC6BBB">
        <w:rPr>
          <w:rFonts w:ascii="Helvetica" w:eastAsia="Times New Roman" w:hAnsi="Helvetica" w:cs="Arial"/>
          <w:sz w:val="20"/>
          <w:szCs w:val="24"/>
          <w:lang w:eastAsia="lt-LT"/>
        </w:rPr>
        <w:t>nurodytą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39, ir lengvosios grandinės kintamą sritį, apimančią aminorūgščių seką, </w:t>
      </w:r>
      <w:bookmarkStart w:id="2" w:name="_Hlk101729477"/>
      <w:r w:rsidR="00802230" w:rsidRPr="00DC6BBB">
        <w:rPr>
          <w:rFonts w:ascii="Helvetica" w:eastAsia="Times New Roman" w:hAnsi="Helvetica" w:cs="Arial"/>
          <w:sz w:val="20"/>
          <w:szCs w:val="24"/>
          <w:lang w:eastAsia="lt-LT"/>
        </w:rPr>
        <w:t>nurodytą</w:t>
      </w:r>
      <w:bookmarkEnd w:id="2"/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43;</w:t>
      </w:r>
    </w:p>
    <w:p w14:paraId="473BBE2C" w14:textId="5D950BCB" w:rsidR="002F084A" w:rsidRPr="00DC6BBB" w:rsidRDefault="002F084A" w:rsidP="00DC6BB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(ii) antikūno sunkiosios grandinės</w:t>
      </w:r>
      <w:r w:rsidR="00802230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kintamą sritį, apimančią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aminorūgščių seką, </w:t>
      </w:r>
      <w:r w:rsidR="005B2843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nurodytą 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SEQ ID Nr. 39, ir lengvosios grandinės kintamą sritį, apimančią aminorūgščių seką, </w:t>
      </w:r>
      <w:r w:rsidR="005B2843" w:rsidRPr="00DC6BBB">
        <w:rPr>
          <w:rFonts w:ascii="Helvetica" w:eastAsia="Times New Roman" w:hAnsi="Helvetica" w:cs="Arial"/>
          <w:sz w:val="20"/>
          <w:szCs w:val="24"/>
          <w:lang w:eastAsia="lt-LT"/>
        </w:rPr>
        <w:t>nurodytą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44;</w:t>
      </w:r>
    </w:p>
    <w:p w14:paraId="59FB8921" w14:textId="56A0923D" w:rsidR="002F084A" w:rsidRPr="00DC6BBB" w:rsidRDefault="002F084A" w:rsidP="00DC6BB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(iii) antikūno sunkiosios grandinės </w:t>
      </w:r>
      <w:r w:rsidR="00802230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kintamą sritį, apimančią 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aminorūgščių seką, </w:t>
      </w:r>
      <w:r w:rsidR="005B2843" w:rsidRPr="00DC6BBB">
        <w:rPr>
          <w:rFonts w:ascii="Helvetica" w:eastAsia="Times New Roman" w:hAnsi="Helvetica" w:cs="Arial"/>
          <w:sz w:val="20"/>
          <w:szCs w:val="24"/>
          <w:lang w:eastAsia="lt-LT"/>
        </w:rPr>
        <w:t>nurodytą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39, ir lengvosios grandinės kintamą sritį, apimančią aminorūgščių seką, </w:t>
      </w:r>
      <w:r w:rsidR="005B2843" w:rsidRPr="00DC6BBB">
        <w:rPr>
          <w:rFonts w:ascii="Helvetica" w:eastAsia="Times New Roman" w:hAnsi="Helvetica" w:cs="Arial"/>
          <w:sz w:val="20"/>
          <w:szCs w:val="24"/>
          <w:lang w:eastAsia="lt-LT"/>
        </w:rPr>
        <w:t>nurodytą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45;</w:t>
      </w:r>
    </w:p>
    <w:p w14:paraId="21C8AD74" w14:textId="25D20641" w:rsidR="002F084A" w:rsidRPr="00DC6BBB" w:rsidRDefault="002F084A" w:rsidP="00DC6BB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(iv) antikūno sunkiosios grandinės</w:t>
      </w:r>
      <w:r w:rsidR="00666BAA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kintamą sritį, apimančią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aminorūgščių seką, </w:t>
      </w:r>
      <w:r w:rsidR="005B2843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nurodytą 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SEQ ID Nr. 40, ir lengvosios grandinės kintamą sritį, apimančią aminorūgščių seką,</w:t>
      </w:r>
      <w:r w:rsidR="005B2843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nurodytą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43;</w:t>
      </w:r>
    </w:p>
    <w:p w14:paraId="2AB2F549" w14:textId="1EBC4B03" w:rsidR="002F084A" w:rsidRPr="00DC6BBB" w:rsidRDefault="002F084A" w:rsidP="00DC6BB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(v) antikūno sunkiosios grandinės</w:t>
      </w:r>
      <w:r w:rsidR="00666BAA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kintamą sritį, apimančią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aminorūgščių seką, </w:t>
      </w:r>
      <w:r w:rsidR="005B2843" w:rsidRPr="00DC6BBB">
        <w:rPr>
          <w:rFonts w:ascii="Helvetica" w:eastAsia="Times New Roman" w:hAnsi="Helvetica" w:cs="Arial"/>
          <w:sz w:val="20"/>
          <w:szCs w:val="24"/>
          <w:lang w:eastAsia="lt-LT"/>
        </w:rPr>
        <w:t>nurodytą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40, ir lengvosios grandinės kintamą sritį, apimančią aminorūgščių seką, </w:t>
      </w:r>
      <w:r w:rsidR="005B2843" w:rsidRPr="00DC6BBB">
        <w:rPr>
          <w:rFonts w:ascii="Helvetica" w:eastAsia="Times New Roman" w:hAnsi="Helvetica" w:cs="Arial"/>
          <w:sz w:val="20"/>
          <w:szCs w:val="24"/>
          <w:lang w:eastAsia="lt-LT"/>
        </w:rPr>
        <w:t>nurodytą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44;</w:t>
      </w:r>
    </w:p>
    <w:p w14:paraId="2E78C990" w14:textId="39F25332" w:rsidR="002F084A" w:rsidRPr="00DC6BBB" w:rsidRDefault="002F084A" w:rsidP="00DC6BB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(vi) antikūno sunkiosios grandinės </w:t>
      </w:r>
      <w:r w:rsidR="00666BAA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kintamą sritį, apimančią 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aminorūgščių seką, </w:t>
      </w:r>
      <w:r w:rsidR="005B2843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nurodytą 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SEQ ID Nr. 40, ir lengvosios grandinės kintamą sritį, apimančią aminorūgščių seką, </w:t>
      </w:r>
      <w:r w:rsidR="005B2843" w:rsidRPr="00DC6BBB">
        <w:rPr>
          <w:rFonts w:ascii="Helvetica" w:eastAsia="Times New Roman" w:hAnsi="Helvetica" w:cs="Arial"/>
          <w:sz w:val="20"/>
          <w:szCs w:val="24"/>
          <w:lang w:eastAsia="lt-LT"/>
        </w:rPr>
        <w:t>nurodytą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45;</w:t>
      </w:r>
    </w:p>
    <w:p w14:paraId="6AD95D32" w14:textId="206E86F3" w:rsidR="002F084A" w:rsidRPr="00DC6BBB" w:rsidRDefault="002F084A" w:rsidP="00DC6BB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(vii) antikūno sunkiosios grandinės</w:t>
      </w:r>
      <w:r w:rsidR="00666BAA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kintamą sritį, apimančią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aminorūgščių seką, </w:t>
      </w:r>
      <w:r w:rsidR="00022EA3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nurodytą 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SEQ ID Nr. 41, ir lengvosios grandinės kintamą sritį, apimančią aminorūgščių seką, </w:t>
      </w:r>
      <w:r w:rsidR="00022EA3" w:rsidRPr="00DC6BBB">
        <w:rPr>
          <w:rFonts w:ascii="Helvetica" w:eastAsia="Times New Roman" w:hAnsi="Helvetica" w:cs="Arial"/>
          <w:sz w:val="20"/>
          <w:szCs w:val="24"/>
          <w:lang w:eastAsia="lt-LT"/>
        </w:rPr>
        <w:t>nurodytą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43;</w:t>
      </w:r>
    </w:p>
    <w:p w14:paraId="2FD936BC" w14:textId="3C37030B" w:rsidR="002F084A" w:rsidRPr="00DC6BBB" w:rsidRDefault="002F084A" w:rsidP="00DC6BB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(viii) antikūno sunkiosios grandinės </w:t>
      </w:r>
      <w:r w:rsidR="00666BAA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kintamą sritį, apimančią 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aminorūgščių seką, </w:t>
      </w:r>
      <w:r w:rsidR="00022EA3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nurodytą 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SEQ ID Nr. 41, ir lengvosios grandinės kintamą sritį, apimančią aminorūgščių seką, </w:t>
      </w:r>
      <w:r w:rsidR="00022EA3" w:rsidRPr="00DC6BBB">
        <w:rPr>
          <w:rFonts w:ascii="Helvetica" w:eastAsia="Times New Roman" w:hAnsi="Helvetica" w:cs="Arial"/>
          <w:sz w:val="20"/>
          <w:szCs w:val="24"/>
          <w:lang w:eastAsia="lt-LT"/>
        </w:rPr>
        <w:t>nurodytą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44;</w:t>
      </w:r>
    </w:p>
    <w:p w14:paraId="3B158F9B" w14:textId="7C31DBE3" w:rsidR="002F084A" w:rsidRPr="00DC6BBB" w:rsidRDefault="002F084A" w:rsidP="00DC6BB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(ix) antikūno sunkiosios grandinės </w:t>
      </w:r>
      <w:r w:rsidR="00666BAA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kintamą sritį, apimančią 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aminorūgščių seką, </w:t>
      </w:r>
      <w:r w:rsidR="00022EA3" w:rsidRPr="00DC6BBB">
        <w:rPr>
          <w:rFonts w:ascii="Helvetica" w:eastAsia="Times New Roman" w:hAnsi="Helvetica" w:cs="Arial"/>
          <w:sz w:val="20"/>
          <w:szCs w:val="24"/>
          <w:lang w:eastAsia="lt-LT"/>
        </w:rPr>
        <w:t>nurodytą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41, ir lengvosios grandinės kintamą sritį, apimančią aminorūgščių seką, </w:t>
      </w:r>
      <w:r w:rsidR="00022EA3" w:rsidRPr="00DC6BBB">
        <w:rPr>
          <w:rFonts w:ascii="Helvetica" w:eastAsia="Times New Roman" w:hAnsi="Helvetica" w:cs="Arial"/>
          <w:sz w:val="20"/>
          <w:szCs w:val="24"/>
          <w:lang w:eastAsia="lt-LT"/>
        </w:rPr>
        <w:t>nurodytą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45;</w:t>
      </w:r>
    </w:p>
    <w:p w14:paraId="453307D2" w14:textId="6058E40A" w:rsidR="002F084A" w:rsidRPr="00DC6BBB" w:rsidRDefault="002F084A" w:rsidP="00DC6BB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(x) antikūno sunkiosios grandinės </w:t>
      </w:r>
      <w:r w:rsidR="00666BAA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kintamą sritį, apimančią 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aminorūgščių seką, </w:t>
      </w:r>
      <w:r w:rsidR="00022EA3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nurodytą 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SEQ ID Nr. 42, ir lengvosios grandinės kintamą sritį, apimančią aminorūgščių seką, </w:t>
      </w:r>
      <w:r w:rsidR="00022EA3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nurodytą 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SEQ ID Nr. 43;</w:t>
      </w:r>
    </w:p>
    <w:p w14:paraId="51BFED50" w14:textId="258147D3" w:rsidR="002F084A" w:rsidRPr="00DC6BBB" w:rsidRDefault="002F084A" w:rsidP="00DC6BB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(xi) antikūno sunkiosios grandinės</w:t>
      </w:r>
      <w:r w:rsidR="00666BAA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kintamą sritį, apimančią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aminorūgščių seką, </w:t>
      </w:r>
      <w:r w:rsidR="00022EA3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nurodytą 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SEQ ID Nr. 42, ir lengvosios grandinės kintamą sritį, apimančią aminorūgščių seką,</w:t>
      </w:r>
      <w:r w:rsidR="00022EA3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nurodytą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44; arba</w:t>
      </w:r>
    </w:p>
    <w:p w14:paraId="4AFFF0BA" w14:textId="50CEF46B" w:rsidR="002F084A" w:rsidRPr="00DC6BBB" w:rsidRDefault="002F084A" w:rsidP="00DC6BB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(xii) antikūno sunkiosios grandinės </w:t>
      </w:r>
      <w:r w:rsidR="00666BAA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kintamą sritį, apimančią 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aminorūgščių seką, </w:t>
      </w:r>
      <w:r w:rsidR="00022EA3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nurodytą 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SEQ ID Nr. 42, ir lengvosios grandinės kintamą sritį, apimančią aminorūgščių seką, </w:t>
      </w:r>
      <w:r w:rsidR="00022EA3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nurodytą 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SEQ ID Nr. 45.</w:t>
      </w:r>
    </w:p>
    <w:p w14:paraId="2E8391CD" w14:textId="77777777" w:rsidR="00DC6BBB" w:rsidRPr="00DC6BBB" w:rsidRDefault="00DC6BBB" w:rsidP="00DC6BB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6A45010A" w14:textId="3711B6FD" w:rsidR="002F084A" w:rsidRPr="00DC6BBB" w:rsidRDefault="002F084A" w:rsidP="00DC6B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6.</w:t>
      </w:r>
      <w:r w:rsidR="00447A1B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Antikūnas pagal bet kurį iš 1-5 punktų, kur antikūnas suriša </w:t>
      </w:r>
      <w:proofErr w:type="spellStart"/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komplemento</w:t>
      </w:r>
      <w:proofErr w:type="spellEnd"/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C1s baltymą</w:t>
      </w:r>
      <w:r w:rsidR="00F504B9" w:rsidRPr="00DC6BBB">
        <w:rPr>
          <w:rFonts w:ascii="Helvetica" w:eastAsia="Times New Roman" w:hAnsi="Helvetica" w:cs="Arial"/>
          <w:sz w:val="20"/>
          <w:szCs w:val="24"/>
          <w:lang w:eastAsia="lt-LT"/>
        </w:rPr>
        <w:t>, esant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disociacijos konstanta</w:t>
      </w:r>
      <w:r w:rsidR="00F504B9" w:rsidRPr="00DC6BBB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(K</w:t>
      </w:r>
      <w:r w:rsidRPr="00DC6BBB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D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) ne daugiau kaip 0,4 </w:t>
      </w:r>
      <w:proofErr w:type="spellStart"/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nM</w:t>
      </w:r>
      <w:proofErr w:type="spellEnd"/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3DA5E858" w14:textId="77777777" w:rsidR="00DC6BBB" w:rsidRPr="00DC6BBB" w:rsidRDefault="00DC6BBB" w:rsidP="00DC6B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7445D557" w14:textId="20CF490B" w:rsidR="002F084A" w:rsidRPr="00DC6BBB" w:rsidRDefault="002F084A" w:rsidP="00DC6B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7.</w:t>
      </w:r>
      <w:r w:rsidR="00447A1B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Antikūnas pagal bet kurį iš 1-5 punktų, kur antikūnas suriša </w:t>
      </w:r>
      <w:proofErr w:type="spellStart"/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komplemento</w:t>
      </w:r>
      <w:proofErr w:type="spellEnd"/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C1s baltymą</w:t>
      </w:r>
      <w:r w:rsidR="00F504B9" w:rsidRPr="00DC6BBB">
        <w:rPr>
          <w:rFonts w:ascii="Helvetica" w:eastAsia="Times New Roman" w:hAnsi="Helvetica" w:cs="Arial"/>
          <w:sz w:val="20"/>
          <w:szCs w:val="24"/>
          <w:lang w:eastAsia="lt-LT"/>
        </w:rPr>
        <w:t>, esant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disociacijos konstanta</w:t>
      </w:r>
      <w:r w:rsidR="0019141D" w:rsidRPr="00DC6BBB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(K</w:t>
      </w:r>
      <w:r w:rsidRPr="00DC6BBB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D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) ne daugiau kaip 0,3 </w:t>
      </w:r>
      <w:proofErr w:type="spellStart"/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nM</w:t>
      </w:r>
      <w:proofErr w:type="spellEnd"/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4B31F300" w14:textId="77777777" w:rsidR="00DC6BBB" w:rsidRPr="00DC6BBB" w:rsidRDefault="00DC6BBB" w:rsidP="00DC6B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69AD4D50" w14:textId="087D32A7" w:rsidR="0019141D" w:rsidRPr="00DC6BBB" w:rsidRDefault="002F084A" w:rsidP="00DC6B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8.</w:t>
      </w:r>
      <w:r w:rsidR="00447A1B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Antikūnas pagal bet kurį iš 1-7 punktų, kur antikūnas specifiškai suriša </w:t>
      </w:r>
      <w:proofErr w:type="spellStart"/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epitopą</w:t>
      </w:r>
      <w:proofErr w:type="spellEnd"/>
      <w:r w:rsidR="0019141D" w:rsidRPr="00DC6BBB">
        <w:rPr>
          <w:rFonts w:ascii="Helvetica" w:eastAsia="Times New Roman" w:hAnsi="Helvetica" w:cs="Arial"/>
          <w:sz w:val="20"/>
          <w:szCs w:val="24"/>
          <w:lang w:eastAsia="lt-LT"/>
        </w:rPr>
        <w:t>, esantį srityje, apimančioje C1s IV ir V domenus.</w:t>
      </w:r>
    </w:p>
    <w:p w14:paraId="460CE797" w14:textId="77777777" w:rsidR="00DC6BBB" w:rsidRPr="00DC6BBB" w:rsidRDefault="00DC6BBB" w:rsidP="00DC6BB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12E191FC" w14:textId="1E2CCFB2" w:rsidR="002F084A" w:rsidRPr="00DC6BBB" w:rsidRDefault="002F084A" w:rsidP="00DC6B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9.</w:t>
      </w:r>
      <w:r w:rsidR="00447A1B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Antikūnas pagal bet kurį iš 1-8 punktų, kur antikūnas su dideliu </w:t>
      </w:r>
      <w:proofErr w:type="spellStart"/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avidiškumu</w:t>
      </w:r>
      <w:proofErr w:type="spellEnd"/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suriša </w:t>
      </w:r>
      <w:proofErr w:type="spellStart"/>
      <w:r w:rsidR="00B54A98" w:rsidRPr="00DC6BBB">
        <w:rPr>
          <w:rFonts w:ascii="Helvetica" w:eastAsia="Times New Roman" w:hAnsi="Helvetica" w:cs="Arial"/>
          <w:sz w:val="20"/>
          <w:szCs w:val="24"/>
          <w:lang w:eastAsia="lt-LT"/>
        </w:rPr>
        <w:t>komplemento</w:t>
      </w:r>
      <w:proofErr w:type="spellEnd"/>
      <w:r w:rsidR="00B54A98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komponentą C1s</w:t>
      </w:r>
      <w:r w:rsidR="00DE3280" w:rsidRPr="00DC6BBB">
        <w:rPr>
          <w:rFonts w:ascii="Helvetica" w:eastAsia="Times New Roman" w:hAnsi="Helvetica" w:cs="Arial"/>
          <w:sz w:val="20"/>
          <w:szCs w:val="24"/>
          <w:lang w:eastAsia="lt-LT"/>
        </w:rPr>
        <w:t>, esantį</w:t>
      </w:r>
      <w:r w:rsidR="00B54A98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C1 komplekse.</w:t>
      </w:r>
    </w:p>
    <w:p w14:paraId="7274977F" w14:textId="77777777" w:rsidR="00B54A98" w:rsidRPr="00DC6BBB" w:rsidRDefault="00B54A98" w:rsidP="00DC6BB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3E9D3E1D" w14:textId="56443631" w:rsidR="00DC6BBB" w:rsidRPr="00DC6BBB" w:rsidRDefault="002F084A" w:rsidP="00DC6B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10.</w:t>
      </w:r>
      <w:r w:rsidR="00447A1B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Antikūnas pagal bet kurį iš 1-9 punktų, kur antikūnas yra humanizuotas antikūnas.</w:t>
      </w:r>
    </w:p>
    <w:p w14:paraId="11DFE4EC" w14:textId="77777777" w:rsidR="00DC6BBB" w:rsidRPr="00DC6BBB" w:rsidRDefault="00DC6BBB" w:rsidP="00DC6B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190B7129" w14:textId="5FD662E8" w:rsidR="00DE3280" w:rsidRPr="00DC6BBB" w:rsidRDefault="002F084A" w:rsidP="00DC6B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11.</w:t>
      </w:r>
      <w:r w:rsidR="00447A1B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Antikūnas pagal bet kurį iš 1-10 punktų, kur antikūnas </w:t>
      </w:r>
      <w:r w:rsidR="00DE3280" w:rsidRPr="00DC6BBB">
        <w:rPr>
          <w:rFonts w:ascii="Helvetica" w:eastAsia="Times New Roman" w:hAnsi="Helvetica" w:cs="Arial"/>
          <w:sz w:val="20"/>
          <w:szCs w:val="24"/>
          <w:lang w:eastAsia="lt-LT"/>
        </w:rPr>
        <w:t>suriša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žmogaus </w:t>
      </w:r>
      <w:proofErr w:type="spellStart"/>
      <w:r w:rsidR="00DE3280" w:rsidRPr="00DC6BBB">
        <w:rPr>
          <w:rFonts w:ascii="Helvetica" w:eastAsia="Times New Roman" w:hAnsi="Helvetica" w:cs="Arial"/>
          <w:sz w:val="20"/>
          <w:szCs w:val="24"/>
          <w:lang w:eastAsia="lt-LT"/>
        </w:rPr>
        <w:t>komplemento</w:t>
      </w:r>
      <w:proofErr w:type="spellEnd"/>
      <w:r w:rsidR="00DE3280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C1s baltymą.</w:t>
      </w:r>
    </w:p>
    <w:p w14:paraId="1BA505E6" w14:textId="77777777" w:rsidR="00DC6BBB" w:rsidRPr="00DC6BBB" w:rsidRDefault="00DC6BBB" w:rsidP="00DC6BB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7E510CF4" w14:textId="555DF385" w:rsidR="002F084A" w:rsidRPr="00DC6BBB" w:rsidRDefault="002F084A" w:rsidP="00DC6B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lastRenderedPageBreak/>
        <w:t xml:space="preserve">12. Antikūnas pagal bet kurį iš 1-11 punktų, kur antikūnas yra parinktas iš grupės, susidedančios iš </w:t>
      </w:r>
      <w:proofErr w:type="spellStart"/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Ig</w:t>
      </w:r>
      <w:proofErr w:type="spellEnd"/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monomero, </w:t>
      </w:r>
      <w:proofErr w:type="spellStart"/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Fab</w:t>
      </w:r>
      <w:proofErr w:type="spellEnd"/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fragmento, F(</w:t>
      </w:r>
      <w:proofErr w:type="spellStart"/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ab</w:t>
      </w:r>
      <w:proofErr w:type="spellEnd"/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')2 fragmento, </w:t>
      </w:r>
      <w:proofErr w:type="spellStart"/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scFv</w:t>
      </w:r>
      <w:proofErr w:type="spellEnd"/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scAb</w:t>
      </w:r>
      <w:proofErr w:type="spellEnd"/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ir </w:t>
      </w:r>
      <w:proofErr w:type="spellStart"/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Fv</w:t>
      </w:r>
      <w:proofErr w:type="spellEnd"/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10542197" w14:textId="77777777" w:rsidR="00DC6BBB" w:rsidRPr="00DC6BBB" w:rsidRDefault="00DC6BBB" w:rsidP="00DC6B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066AF850" w14:textId="24E001BA" w:rsidR="002F084A" w:rsidRPr="00DC6BBB" w:rsidRDefault="002F084A" w:rsidP="00DC6B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13.</w:t>
      </w:r>
      <w:r w:rsidR="00447A1B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Antikūnas pagal bet kurį iš 1-12 punktų, kur antikūnas yra parinktas iš grupės, susidedančios iš </w:t>
      </w:r>
      <w:proofErr w:type="spellStart"/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monospecifinio</w:t>
      </w:r>
      <w:proofErr w:type="spellEnd"/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antikūno, </w:t>
      </w:r>
      <w:proofErr w:type="spellStart"/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bispecifinio</w:t>
      </w:r>
      <w:proofErr w:type="spellEnd"/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antikūno ir </w:t>
      </w:r>
      <w:proofErr w:type="spellStart"/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daugiaspecifinio</w:t>
      </w:r>
      <w:proofErr w:type="spellEnd"/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antikūno.</w:t>
      </w:r>
    </w:p>
    <w:p w14:paraId="40AF06C0" w14:textId="77777777" w:rsidR="00DC6BBB" w:rsidRPr="00DC6BBB" w:rsidRDefault="00DC6BBB" w:rsidP="00DC6BB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50C4B85A" w14:textId="06996365" w:rsidR="002F084A" w:rsidRPr="00DC6BBB" w:rsidRDefault="002F084A" w:rsidP="00DC6B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14.</w:t>
      </w:r>
      <w:r w:rsidR="00447A1B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Antikūnas pagal bet kurį iš 1-13 punktų, kur antikūnas apima lengvosios grandinės sritį ir sunkiosios grandinės sritį, kurios yra </w:t>
      </w:r>
      <w:r w:rsidR="00F62503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išsidėsčiusios 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viename </w:t>
      </w:r>
      <w:proofErr w:type="spellStart"/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polipeptide</w:t>
      </w:r>
      <w:proofErr w:type="spellEnd"/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4586BC62" w14:textId="77777777" w:rsidR="00DC6BBB" w:rsidRPr="00DC6BBB" w:rsidRDefault="00DC6BBB" w:rsidP="00DC6B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39580ED3" w14:textId="21A614D0" w:rsidR="00F62503" w:rsidRPr="00DC6BBB" w:rsidRDefault="002F084A" w:rsidP="00DC6B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15</w:t>
      </w:r>
      <w:r w:rsidR="00F62503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. Antikūnas pagal bet kurį iš 1-14 punktų, kur antikūnas apima </w:t>
      </w:r>
      <w:proofErr w:type="spellStart"/>
      <w:r w:rsidR="00F62503" w:rsidRPr="00DC6BBB">
        <w:rPr>
          <w:rFonts w:ascii="Helvetica" w:eastAsia="Times New Roman" w:hAnsi="Helvetica" w:cs="Arial"/>
          <w:sz w:val="20"/>
          <w:szCs w:val="24"/>
          <w:lang w:eastAsia="lt-LT"/>
        </w:rPr>
        <w:t>Fc</w:t>
      </w:r>
      <w:proofErr w:type="spellEnd"/>
      <w:r w:rsidR="00F62503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sritį.</w:t>
      </w:r>
    </w:p>
    <w:p w14:paraId="25E143BE" w14:textId="3B2B4712" w:rsidR="002F084A" w:rsidRPr="00DC6BBB" w:rsidRDefault="002F084A" w:rsidP="00DC6BB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3CBF4529" w14:textId="6423D08A" w:rsidR="00F62503" w:rsidRPr="00DC6BBB" w:rsidRDefault="002F084A" w:rsidP="00DC6B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16</w:t>
      </w:r>
      <w:r w:rsidR="00F62503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. Antikūnas pagal bet kurį iš 1-15 punktų, kur antikūnas apima </w:t>
      </w:r>
      <w:proofErr w:type="spellStart"/>
      <w:r w:rsidR="00F62503" w:rsidRPr="00DC6BBB">
        <w:rPr>
          <w:rFonts w:ascii="Helvetica" w:eastAsia="Times New Roman" w:hAnsi="Helvetica" w:cs="Arial"/>
          <w:sz w:val="20"/>
          <w:szCs w:val="24"/>
          <w:lang w:eastAsia="lt-LT"/>
        </w:rPr>
        <w:t>IgG</w:t>
      </w:r>
      <w:proofErr w:type="spellEnd"/>
      <w:r w:rsidR="00F62503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pastovią sritį.</w:t>
      </w:r>
    </w:p>
    <w:p w14:paraId="4DF08AD7" w14:textId="359F4BCA" w:rsidR="002F084A" w:rsidRPr="00DC6BBB" w:rsidRDefault="002F084A" w:rsidP="00DC6BB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00B4A80" w14:textId="515499DB" w:rsidR="002F084A" w:rsidRPr="00DC6BBB" w:rsidRDefault="002F084A" w:rsidP="00DC6B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17.</w:t>
      </w:r>
      <w:r w:rsidR="00447A1B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Antikūnas pagal 16 punktą, kur </w:t>
      </w:r>
      <w:proofErr w:type="spellStart"/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IgG</w:t>
      </w:r>
      <w:proofErr w:type="spellEnd"/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pastovi sritis yra IgG4 pastovi sritis.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br/>
      </w:r>
    </w:p>
    <w:p w14:paraId="6C35D5A8" w14:textId="4D74EABD" w:rsidR="002F084A" w:rsidRPr="00DC6BBB" w:rsidRDefault="002F084A" w:rsidP="00DC6B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18.</w:t>
      </w:r>
      <w:r w:rsidR="00447A1B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Antikūnas pagal bet kurį iš 1-17 punktų, kur antikūnas yra </w:t>
      </w:r>
      <w:proofErr w:type="spellStart"/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konjuguotas</w:t>
      </w:r>
      <w:proofErr w:type="spellEnd"/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su agentu.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br/>
      </w:r>
    </w:p>
    <w:p w14:paraId="7EF8DECB" w14:textId="21C4E2F4" w:rsidR="00F62503" w:rsidRPr="00DC6BBB" w:rsidRDefault="002F084A" w:rsidP="00DC6B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19</w:t>
      </w:r>
      <w:r w:rsidR="00F62503" w:rsidRPr="00DC6BBB">
        <w:rPr>
          <w:rFonts w:ascii="Helvetica" w:eastAsia="Times New Roman" w:hAnsi="Helvetica" w:cs="Arial"/>
          <w:sz w:val="20"/>
          <w:szCs w:val="24"/>
          <w:lang w:eastAsia="lt-LT"/>
        </w:rPr>
        <w:t>. Antikūnas pagal 18 punktą, kur agentas yra terapinis agentas.</w:t>
      </w:r>
    </w:p>
    <w:p w14:paraId="685280F8" w14:textId="421DED08" w:rsidR="002F084A" w:rsidRPr="00DC6BBB" w:rsidRDefault="002F084A" w:rsidP="00DC6BB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D48E74D" w14:textId="15A2C6D9" w:rsidR="00F62503" w:rsidRPr="00DC6BBB" w:rsidRDefault="002F084A" w:rsidP="00DC6B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20.</w:t>
      </w:r>
      <w:r w:rsidR="00447A1B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Nukleorūgštis, apimanti nukleotidų seką, koduojančią antikūną pagal bet kurį iš 1-</w:t>
      </w:r>
      <w:r w:rsidR="00F62503" w:rsidRPr="00DC6BBB">
        <w:rPr>
          <w:rFonts w:ascii="Helvetica" w:eastAsia="Times New Roman" w:hAnsi="Helvetica" w:cs="Arial"/>
          <w:sz w:val="20"/>
          <w:szCs w:val="24"/>
          <w:lang w:eastAsia="lt-LT"/>
        </w:rPr>
        <w:t>19 punktų.</w:t>
      </w:r>
    </w:p>
    <w:p w14:paraId="20B3372B" w14:textId="77777777" w:rsidR="00DC6BBB" w:rsidRPr="00DC6BBB" w:rsidRDefault="00DC6BBB" w:rsidP="00DC6BB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18646BB1" w14:textId="77777777" w:rsidR="00DC6BBB" w:rsidRPr="00DC6BBB" w:rsidRDefault="002F084A" w:rsidP="00DC6B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21</w:t>
      </w:r>
      <w:r w:rsidR="00F62503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. </w:t>
      </w:r>
      <w:proofErr w:type="spellStart"/>
      <w:r w:rsidR="00F62503" w:rsidRPr="00DC6BBB">
        <w:rPr>
          <w:rFonts w:ascii="Helvetica" w:eastAsia="Times New Roman" w:hAnsi="Helvetica" w:cs="Arial"/>
          <w:sz w:val="20"/>
          <w:szCs w:val="24"/>
          <w:lang w:eastAsia="lt-LT"/>
        </w:rPr>
        <w:t>Rekombinantinis</w:t>
      </w:r>
      <w:proofErr w:type="spellEnd"/>
      <w:r w:rsidR="00F62503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vektorius, apimantis nukleorūgštį pagal 20 punktą.</w:t>
      </w:r>
    </w:p>
    <w:p w14:paraId="69A8FC9C" w14:textId="77777777" w:rsidR="00DC6BBB" w:rsidRPr="00DC6BBB" w:rsidRDefault="00DC6BBB" w:rsidP="00DC6BB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47DD449E" w14:textId="5F841866" w:rsidR="00F62503" w:rsidRPr="00DC6BBB" w:rsidRDefault="002F084A" w:rsidP="00DC6B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22.</w:t>
      </w:r>
      <w:r w:rsidR="00447A1B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Rekombinantinė</w:t>
      </w:r>
      <w:proofErr w:type="spellEnd"/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ląstelė, apimanti nukleorūgštį pagal 20 punktą arba </w:t>
      </w:r>
      <w:proofErr w:type="spellStart"/>
      <w:r w:rsidR="00F62503" w:rsidRPr="00DC6BBB">
        <w:rPr>
          <w:rFonts w:ascii="Helvetica" w:eastAsia="Times New Roman" w:hAnsi="Helvetica" w:cs="Arial"/>
          <w:sz w:val="20"/>
          <w:szCs w:val="24"/>
          <w:lang w:eastAsia="lt-LT"/>
        </w:rPr>
        <w:t>rekombinantinį</w:t>
      </w:r>
      <w:proofErr w:type="spellEnd"/>
      <w:r w:rsidR="00F62503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vektorių pagal 21 punktą.</w:t>
      </w:r>
    </w:p>
    <w:p w14:paraId="519A054D" w14:textId="77777777" w:rsidR="00DC6BBB" w:rsidRPr="00DC6BBB" w:rsidRDefault="00DC6BBB" w:rsidP="00DC6BB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31B3121F" w14:textId="1CCA30C5" w:rsidR="004B60FD" w:rsidRPr="00DC6BBB" w:rsidRDefault="002F084A" w:rsidP="00DC6B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23.</w:t>
      </w:r>
      <w:r w:rsidR="00447A1B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Farmacinė kompozicija, apimanti antikūną pagal bet kurį iš 1-19 punktų ir </w:t>
      </w:r>
      <w:r w:rsidR="004B60FD" w:rsidRPr="00DC6BBB">
        <w:rPr>
          <w:rFonts w:ascii="Helvetica" w:eastAsia="Times New Roman" w:hAnsi="Helvetica" w:cs="Arial"/>
          <w:sz w:val="20"/>
          <w:szCs w:val="24"/>
          <w:lang w:eastAsia="lt-LT"/>
        </w:rPr>
        <w:t>farmaciniu požiūriu priimtiną pagalbinę medžiagą.</w:t>
      </w:r>
    </w:p>
    <w:p w14:paraId="13BDA839" w14:textId="77777777" w:rsidR="00DC6BBB" w:rsidRPr="00DC6BBB" w:rsidRDefault="00DC6BBB" w:rsidP="00DC6BB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07FA18CC" w14:textId="6DEB3E17" w:rsidR="004B60FD" w:rsidRPr="00DC6BBB" w:rsidRDefault="002F084A" w:rsidP="00DC6B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24.</w:t>
      </w:r>
      <w:r w:rsidR="00447A1B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Steril</w:t>
      </w:r>
      <w:r w:rsidR="004B60FD" w:rsidRPr="00DC6BBB">
        <w:rPr>
          <w:rFonts w:ascii="Helvetica" w:eastAsia="Times New Roman" w:hAnsi="Helvetica" w:cs="Arial"/>
          <w:sz w:val="20"/>
          <w:szCs w:val="24"/>
          <w:lang w:eastAsia="lt-LT"/>
        </w:rPr>
        <w:t>i talpykla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, apimanti farmacinę kompoziciją pagal 23 punktą, kur </w:t>
      </w:r>
      <w:r w:rsidR="004B60FD" w:rsidRPr="00DC6BBB">
        <w:rPr>
          <w:rFonts w:ascii="Helvetica" w:eastAsia="Times New Roman" w:hAnsi="Helvetica" w:cs="Arial"/>
          <w:sz w:val="20"/>
          <w:szCs w:val="24"/>
          <w:lang w:eastAsia="lt-LT"/>
        </w:rPr>
        <w:t>talpykla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yra </w:t>
      </w:r>
      <w:r w:rsidR="004B60FD" w:rsidRPr="00DC6BBB">
        <w:rPr>
          <w:rFonts w:ascii="Helvetica" w:eastAsia="Times New Roman" w:hAnsi="Helvetica" w:cs="Arial"/>
          <w:sz w:val="20"/>
          <w:szCs w:val="24"/>
          <w:lang w:eastAsia="lt-LT"/>
        </w:rPr>
        <w:t>parinkta iš grupės, susidedančios iš buteliuko ir švirkšto.</w:t>
      </w:r>
    </w:p>
    <w:p w14:paraId="74B9D8B6" w14:textId="77777777" w:rsidR="00DC6BBB" w:rsidRPr="00DC6BBB" w:rsidRDefault="00DC6BBB" w:rsidP="00DC6BB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12E6A4C0" w14:textId="4436920E" w:rsidR="004B60FD" w:rsidRPr="00DC6BBB" w:rsidRDefault="002F084A" w:rsidP="00DC6B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25.</w:t>
      </w:r>
      <w:r w:rsidR="00447A1B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Antikūnas pagal bet kurį iš 1-19 punktų arba farmacinė kompozicija pagal 23 </w:t>
      </w:r>
      <w:r w:rsidR="004B60FD" w:rsidRPr="00DC6BBB">
        <w:rPr>
          <w:rFonts w:ascii="Helvetica" w:eastAsia="Times New Roman" w:hAnsi="Helvetica" w:cs="Arial"/>
          <w:sz w:val="20"/>
          <w:szCs w:val="24"/>
          <w:lang w:eastAsia="lt-LT"/>
        </w:rPr>
        <w:t>punktą, skirti naudoti gydomojoje terapijoje.</w:t>
      </w:r>
    </w:p>
    <w:p w14:paraId="1C1356A8" w14:textId="51FF58E1" w:rsidR="002F084A" w:rsidRPr="00DC6BBB" w:rsidRDefault="002F084A" w:rsidP="00DC6BB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0E31FDAA" w14:textId="18BBAEBD" w:rsidR="007B2677" w:rsidRPr="00DC6BBB" w:rsidRDefault="002F084A" w:rsidP="00DC6B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26.</w:t>
      </w:r>
      <w:r w:rsidR="00447A1B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Antikūnas pagal bet kurį iš 1-19 punktų arba farmacinė kompozicija pagal 23 punktą, skirti naudoti gydant individą, sergantį </w:t>
      </w:r>
      <w:proofErr w:type="spellStart"/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komplemento</w:t>
      </w:r>
      <w:proofErr w:type="spellEnd"/>
      <w:r w:rsidR="007B2677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sistemos sąlygota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liga arba sutrikimu, kur </w:t>
      </w:r>
      <w:proofErr w:type="spellStart"/>
      <w:r w:rsidR="007B2677" w:rsidRPr="00DC6BBB">
        <w:rPr>
          <w:rFonts w:ascii="Helvetica" w:eastAsia="Times New Roman" w:hAnsi="Helvetica" w:cs="Arial"/>
          <w:sz w:val="20"/>
          <w:szCs w:val="24"/>
          <w:lang w:eastAsia="lt-LT"/>
        </w:rPr>
        <w:t>komplemento</w:t>
      </w:r>
      <w:proofErr w:type="spellEnd"/>
      <w:r w:rsidR="007B2677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sistemos sąlygota 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liga arba sutrikimas yra šal</w:t>
      </w:r>
      <w:r w:rsidR="007B2677" w:rsidRPr="00DC6BBB">
        <w:rPr>
          <w:rFonts w:ascii="Helvetica" w:eastAsia="Times New Roman" w:hAnsi="Helvetica" w:cs="Arial"/>
          <w:sz w:val="20"/>
          <w:szCs w:val="24"/>
          <w:lang w:eastAsia="lt-LT"/>
        </w:rPr>
        <w:t>čio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B2677" w:rsidRPr="00DC6BBB">
        <w:rPr>
          <w:rFonts w:ascii="Helvetica" w:eastAsia="Times New Roman" w:hAnsi="Helvetica" w:cs="Arial"/>
          <w:sz w:val="20"/>
          <w:szCs w:val="24"/>
          <w:lang w:eastAsia="lt-LT"/>
        </w:rPr>
        <w:t>agliutininų liga.</w:t>
      </w:r>
    </w:p>
    <w:p w14:paraId="732B3C6F" w14:textId="77777777" w:rsidR="00DC6BBB" w:rsidRPr="00DC6BBB" w:rsidRDefault="00DC6BBB" w:rsidP="00DC6BB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33D4B643" w14:textId="5CBA5BDE" w:rsidR="00D052A5" w:rsidRPr="00DC6BBB" w:rsidRDefault="002F084A" w:rsidP="00DC6B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27.</w:t>
      </w:r>
      <w:r w:rsidR="00447A1B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Antikūnas arba farmacinė kompozicija, skirt</w:t>
      </w:r>
      <w:r w:rsidR="00D052A5" w:rsidRPr="00DC6BBB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naudoti pagal 26 punktą, kur </w:t>
      </w:r>
      <w:r w:rsidR="00D052A5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naudojimas yra intraveninis, poodinis arba </w:t>
      </w:r>
      <w:proofErr w:type="spellStart"/>
      <w:r w:rsidR="00D052A5" w:rsidRPr="00DC6BBB">
        <w:rPr>
          <w:rFonts w:ascii="Helvetica" w:eastAsia="Times New Roman" w:hAnsi="Helvetica" w:cs="Arial"/>
          <w:sz w:val="20"/>
          <w:szCs w:val="24"/>
          <w:lang w:eastAsia="lt-LT"/>
        </w:rPr>
        <w:t>intratekalinis</w:t>
      </w:r>
      <w:proofErr w:type="spellEnd"/>
      <w:r w:rsidR="00D052A5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įvedimas.</w:t>
      </w:r>
    </w:p>
    <w:p w14:paraId="74634310" w14:textId="77777777" w:rsidR="00DC6BBB" w:rsidRPr="00DC6BBB" w:rsidRDefault="00DC6BBB" w:rsidP="00DC6BB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4E70C10E" w14:textId="7ECFEED8" w:rsidR="00D052A5" w:rsidRPr="00DC6BBB" w:rsidRDefault="002F084A" w:rsidP="00DC6BB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28.</w:t>
      </w:r>
      <w:r w:rsidR="00447A1B"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>Antikūnas arba farmacinė kompozicija, skirt</w:t>
      </w:r>
      <w:r w:rsidR="00D052A5" w:rsidRPr="00DC6BBB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Pr="00DC6BBB">
        <w:rPr>
          <w:rFonts w:ascii="Helvetica" w:eastAsia="Times New Roman" w:hAnsi="Helvetica" w:cs="Arial"/>
          <w:sz w:val="20"/>
          <w:szCs w:val="24"/>
          <w:lang w:eastAsia="lt-LT"/>
        </w:rPr>
        <w:t xml:space="preserve"> naudoti pagal 26 arba 27 punktą, kur antikūnas turi būti įvedamas tokiu kiekiu, kuris užtikrina didžiausią serumo lygį nuo </w:t>
      </w:r>
      <w:r w:rsidR="00D052A5" w:rsidRPr="00DC6BBB">
        <w:rPr>
          <w:rFonts w:ascii="Helvetica" w:eastAsia="Times New Roman" w:hAnsi="Helvetica" w:cs="Arial"/>
          <w:sz w:val="20"/>
          <w:szCs w:val="24"/>
          <w:lang w:eastAsia="lt-LT"/>
        </w:rPr>
        <w:t>maždaug 1 µg/ml iki maždaug 1 mg/ml.</w:t>
      </w:r>
    </w:p>
    <w:sectPr w:rsidR="00D052A5" w:rsidRPr="00DC6BBB" w:rsidSect="00DC6BBB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69072" w14:textId="77777777" w:rsidR="008C7283" w:rsidRDefault="008C7283" w:rsidP="00B46393">
      <w:pPr>
        <w:spacing w:after="0" w:line="240" w:lineRule="auto"/>
      </w:pPr>
      <w:r>
        <w:separator/>
      </w:r>
    </w:p>
  </w:endnote>
  <w:endnote w:type="continuationSeparator" w:id="0">
    <w:p w14:paraId="46EC64C7" w14:textId="77777777" w:rsidR="008C7283" w:rsidRDefault="008C7283" w:rsidP="00B46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02955" w14:textId="77777777" w:rsidR="008C7283" w:rsidRDefault="008C7283" w:rsidP="00B46393">
      <w:pPr>
        <w:spacing w:after="0" w:line="240" w:lineRule="auto"/>
      </w:pPr>
      <w:r>
        <w:separator/>
      </w:r>
    </w:p>
  </w:footnote>
  <w:footnote w:type="continuationSeparator" w:id="0">
    <w:p w14:paraId="7BE2F89D" w14:textId="77777777" w:rsidR="008C7283" w:rsidRDefault="008C7283" w:rsidP="00B463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84A"/>
    <w:rsid w:val="00022EA3"/>
    <w:rsid w:val="00066315"/>
    <w:rsid w:val="0013713A"/>
    <w:rsid w:val="0019141D"/>
    <w:rsid w:val="00250767"/>
    <w:rsid w:val="002F084A"/>
    <w:rsid w:val="004166E6"/>
    <w:rsid w:val="00434709"/>
    <w:rsid w:val="00440F72"/>
    <w:rsid w:val="00447A1B"/>
    <w:rsid w:val="004B60FD"/>
    <w:rsid w:val="005568EF"/>
    <w:rsid w:val="005A7F8D"/>
    <w:rsid w:val="005B2843"/>
    <w:rsid w:val="0065461F"/>
    <w:rsid w:val="00666BAA"/>
    <w:rsid w:val="006A6BC0"/>
    <w:rsid w:val="007B2677"/>
    <w:rsid w:val="00802230"/>
    <w:rsid w:val="00810911"/>
    <w:rsid w:val="00840D80"/>
    <w:rsid w:val="00841CBB"/>
    <w:rsid w:val="0085076B"/>
    <w:rsid w:val="00851BD9"/>
    <w:rsid w:val="008C7283"/>
    <w:rsid w:val="008D1586"/>
    <w:rsid w:val="00927327"/>
    <w:rsid w:val="009C5796"/>
    <w:rsid w:val="009F185D"/>
    <w:rsid w:val="00A83EFB"/>
    <w:rsid w:val="00B02C96"/>
    <w:rsid w:val="00B2534F"/>
    <w:rsid w:val="00B46393"/>
    <w:rsid w:val="00B54A98"/>
    <w:rsid w:val="00BD7267"/>
    <w:rsid w:val="00C1340A"/>
    <w:rsid w:val="00CA5A1B"/>
    <w:rsid w:val="00D052A5"/>
    <w:rsid w:val="00DB531C"/>
    <w:rsid w:val="00DC6BBB"/>
    <w:rsid w:val="00DE3280"/>
    <w:rsid w:val="00E66177"/>
    <w:rsid w:val="00E872CF"/>
    <w:rsid w:val="00F504B9"/>
    <w:rsid w:val="00F6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E17931"/>
  <w15:chartTrackingRefBased/>
  <w15:docId w15:val="{1E1D9583-4095-4293-8E16-CA85FCD0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463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46393"/>
  </w:style>
  <w:style w:type="paragraph" w:styleId="Porat">
    <w:name w:val="footer"/>
    <w:basedOn w:val="prastasis"/>
    <w:link w:val="PoratDiagrama"/>
    <w:uiPriority w:val="99"/>
    <w:unhideWhenUsed/>
    <w:rsid w:val="00B463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46393"/>
  </w:style>
  <w:style w:type="paragraph" w:styleId="Sraopastraipa">
    <w:name w:val="List Paragraph"/>
    <w:basedOn w:val="prastasis"/>
    <w:uiPriority w:val="34"/>
    <w:qFormat/>
    <w:rsid w:val="004B6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0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9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92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43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06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7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5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9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1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2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5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8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15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1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1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1902</Words>
  <Characters>11514</Characters>
  <Application>Microsoft Office Word</Application>
  <DocSecurity>0</DocSecurity>
  <Lines>179</Lines>
  <Paragraphs>79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Rasa Gurčytė</cp:lastModifiedBy>
  <cp:revision>4</cp:revision>
  <dcterms:created xsi:type="dcterms:W3CDTF">2022-04-25T10:12:00Z</dcterms:created>
  <dcterms:modified xsi:type="dcterms:W3CDTF">2022-04-27T13:18:00Z</dcterms:modified>
</cp:coreProperties>
</file>