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 xml:space="preserve">1. Skaitymo ir spausdinimo ant bukleto (228) aparatas, apimantis spausdintuvo sistemą (216) su spausdinimo galvute (274) ir transportavimo sistemą (254), skirtą bukletui transportuoti, </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 transportavimo sistema (254) apima atraminę plokštę (400) ir pirmąjį padavimo ritinėlį (284) ir antrą padavimo ritinėlį (286), sumontuotus taip, kad galėtų suktis, kai bukletas (228) slysta tarp atraminės plokštės (400) ir padavimo ritinėlių (284, 286), antrasis padavimo ritinėlis (286) yra sumontuotas taip, kad kontaktuotų su bukletu (228) per atstumą nuo vieno krašto; ir</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 transportavimo sistema (254) gali būti naudojama suspausti bukletą (228) tik išilgai vieno bukleto (228) krašto, kai bukletas (228) yra transportuojamas,</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 transportavimo sistema (254) apima prispaudimo rėmą (408), prispaudimo rėmas (408), apima viršutinę prispaudimo plokštę (410) ir apatinę prispaudimo plokštę (412), o apatinė prispaudimo plokštė (412) yra judanti vertikaliai taip, kad sudaro sąlygas bukleto (228) priekinio krašto (414) suspaudimui tarp viršutinės ir apatinės prispaudimo plokščių (410, 412), o prispaudimo rėmas (408) gali būti judinamas išilgai,</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 transportavimo sistema (254) papildomai apima atraminę užtvarą (272), kad būtų neleidžiamas išilginis bukleto (228) judėjimas už atraminės užtvaros (272), aparatas yra galintis suspausti bukletą (228), kai bukletas (228) yra arti atraminės užtvaros (272),</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 xml:space="preserve">- aparatas apima stūmimo plokštes (442), kuriomis galima stumti bukletą (228) jos galiniu kraštu (444) link spausdintuvo išleidimo angos (252), ir </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 aparatas papildomai apima išėjimo rampą (418), turinčią proksimalinį galą (420) greta prispaudimo rėmo (408) ir distalinį galą (422) prie spausdintuvo išėjimo angos (252).</w:t>
      </w:r>
    </w:p>
    <w:p w:rsidR="00BF0739" w:rsidRPr="00BF0739" w:rsidRDefault="00BF0739" w:rsidP="00BF0739">
      <w:pPr>
        <w:spacing w:line="360" w:lineRule="auto"/>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2. Aparatas pagal 1 punktą, kur atraminė užtvara (272) jai veikiant, gali būti nuleidžiama, kai spausdintuvo sistema (216) yra išstūmimo padėtyje, kad būtų galima išstumti bukletą (228), po spausdinimo ant bukleto (228).</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3. Aparatas pagal 1 arba 2 punktą, papildomai skirtas minėto bukleto (228) skaitymui, aparatas papildomai apima:</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 skaitymo sistemą, skirtą bukleto (228) skaitymui, norint gauti skaitmeninį parašą, reprezentuojantį unikalią bukleto (228) savybę; kur spausdinimo sistema (216) spausdina ant bukleto (228), naudodama minėtą transportavimo sistemą (254), jei skaitmeninis parašas sutampa su informaciniu skaitmeniniu parašu, susietu su bukletu (228).</w:t>
      </w:r>
    </w:p>
    <w:p w:rsidR="00BF0739" w:rsidRPr="00BF0739" w:rsidRDefault="00BF0739" w:rsidP="00BF0739">
      <w:pPr>
        <w:spacing w:line="360" w:lineRule="auto"/>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4. Aparatas pagal 1 punktą, apimantis įėjimo tiektuvą, šarnyriniu būdu sujungtą su transportavimo sistema (254), o įėjimo tiektuvas (448) apima antrąjį padavimo ritinėlį (286), aparatas yra galintis pakelti įėjimo tiektuvą, kad būtų neleidžiamas kontaktas tarp įėjimo tiektuvo (448) ir bukleto (228).</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5. Aparatas pagal 4 punktą, kur įėjimo tiektuvas (448) apima lanksto jungtį (450), skirtą įėjimo tiektuvo (448) šarnyriniam sujungimui, ir apima pirmąjį padavimo ritinėlį (284), esantį lygiagrečiai ir per atstumą nutolusį nuo antrojo padavimo ritinėlio (286).</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6. Aparatas pagal 4 arba 5 punktą, apimantis spausdintuvo įėjimo angą (240), aparatas yra galintis registruoti bukleto (228) buvimą prie spausdintuvo įleidimo angos (240), įėjimo tiektuvas (448) turi matmenis, tinkamus valdyti bukletą (228), kai bukletas (228) yra įterpiamas į spausdintuvo sistemą (216) per spausdintuvo įėjimo angą (240), o spausdinimo sistema (216) yra tinkama, kad išlaisvintų bukletą (228) per spausdintuvo įėjimo angą (240).</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7. Aparatas pagal bet kurį vieną iš ankstesnių punktų, kur aparatas apima vaizdo gavimo įrenginį (460), skirtą sukurti bukleto (228) spausdinimo ploto vaizdą, kai bukletas (228) yra prispaustas per transportavimo sistemą (254).</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8. Aparatas pagal 7 punktą, apima ekraną (222), aparatas veikia priimant vartotojo įvestą spausdinimo plotą, reaguojant į spausdinimo ploto vaizdo atvaizdavimą ekrane (222).</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9. Aparatas pagal bet kurį vieną iš 3 - 8 punktų, papildomam patikrinimui, ar bukleto (228) vartotojas yra autorizuotas bukleto (228) vartotojas, aparatas papildomai apima priemones, skirtas vartotojo biometrinei ypatybei aptikti ir generuoti duomenis, atspindinčius biometrines savybes,</w:t>
      </w:r>
    </w:p>
    <w:p w:rsidR="00BF0739" w:rsidRPr="00BF0739" w:rsidRDefault="00BF0739" w:rsidP="00BF0739">
      <w:pPr>
        <w:spacing w:line="360" w:lineRule="auto"/>
        <w:jc w:val="both"/>
        <w:rPr>
          <w:rFonts w:ascii="Helvetica" w:hAnsi="Helvetica"/>
          <w:szCs w:val="24"/>
        </w:rPr>
      </w:pPr>
      <w:r w:rsidRPr="00BF0739">
        <w:rPr>
          <w:rFonts w:ascii="Helvetica" w:hAnsi="Helvetica"/>
          <w:szCs w:val="24"/>
        </w:rPr>
        <w:t>kur skaitymo sistema (214) yra skirta skaityti bukletą (228) tam, kad gautų biometrinės informacijos skaitmeninį atvaizdą, susietą su autorizuotu vartotoju, ir kur aparatas yra veikiantis taip, kad paveiktų spausdinimo sistemą (216) spausdinimui ant bukleto (228), jei duomenys atitinka skaitmeninį vaizdą.</w:t>
      </w:r>
    </w:p>
    <w:p w:rsidR="00BF0739" w:rsidRPr="00BF0739" w:rsidRDefault="00BF0739" w:rsidP="00BF0739">
      <w:pPr>
        <w:spacing w:line="360" w:lineRule="auto"/>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 xml:space="preserve">10. Aparatas pagal 9 punktą, papildomai apima išėjimą, išėjimas apima bent vieną iš išėjimo vartelių (52) ir išėjimo tarpdurį (130), aparatas yra veikiantis, kad atrakintų išėjimą, jei aparatas patvirtina, ar vartotojas yra autorizuotas vartotojas. </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11. Aparatas pagal 9 punktą, papildomai apima išėjimą, išėjimas apima bent vieną iš išėjimo vartelių (52) ir išėjimo tarpdurį (130), aparatas yra veikiantis, kad atrakintų išėjimą, jei duomenys atitinka skaitmeninį vaizdą ir skaitmeninis parašas sutampa su numatytuoju skaitmeniniu parašu.</w:t>
      </w:r>
    </w:p>
    <w:p w:rsidR="00BF0739" w:rsidRPr="00BF0739" w:rsidRDefault="00BF0739" w:rsidP="00BF0739">
      <w:pPr>
        <w:spacing w:line="360" w:lineRule="auto"/>
        <w:ind w:firstLine="567"/>
        <w:jc w:val="both"/>
        <w:rPr>
          <w:rFonts w:ascii="Helvetica" w:hAnsi="Helvetica"/>
          <w:szCs w:val="24"/>
        </w:rPr>
      </w:pPr>
    </w:p>
    <w:p w:rsidR="00BF0739" w:rsidRPr="00BF0739" w:rsidRDefault="00BF0739" w:rsidP="00BF0739">
      <w:pPr>
        <w:spacing w:line="360" w:lineRule="auto"/>
        <w:ind w:firstLine="567"/>
        <w:jc w:val="both"/>
        <w:rPr>
          <w:rFonts w:ascii="Helvetica" w:hAnsi="Helvetica"/>
          <w:szCs w:val="24"/>
        </w:rPr>
      </w:pPr>
      <w:r w:rsidRPr="00BF0739">
        <w:rPr>
          <w:rFonts w:ascii="Helvetica" w:hAnsi="Helvetica"/>
          <w:szCs w:val="24"/>
        </w:rPr>
        <w:t xml:space="preserve">12. Aparatas pagal bet kurį vieną iš 9-11 punktų, kur skaitytuvas - spausdintuvas (210) apima vaizdo gavimo įrenginį (460), skirtą bukleto (228) vaizdui sukurti, kai bukletas (228) yra priimamas į skaitytuvą - spausdintuvą (210). </w:t>
      </w:r>
    </w:p>
    <w:p w:rsidR="00BF0739" w:rsidRPr="00BF0739" w:rsidRDefault="00BF0739" w:rsidP="00BF0739">
      <w:pPr>
        <w:spacing w:line="360" w:lineRule="auto"/>
        <w:ind w:firstLine="567"/>
        <w:jc w:val="both"/>
        <w:rPr>
          <w:rFonts w:ascii="Helvetica" w:hAnsi="Helvetica"/>
          <w:szCs w:val="24"/>
        </w:rPr>
      </w:pPr>
    </w:p>
    <w:p w:rsidR="0018473C" w:rsidRPr="00BF0739" w:rsidRDefault="00BF0739" w:rsidP="00BF0739">
      <w:pPr>
        <w:spacing w:line="360" w:lineRule="auto"/>
        <w:ind w:firstLine="567"/>
        <w:jc w:val="both"/>
        <w:rPr>
          <w:rFonts w:ascii="Helvetica" w:hAnsi="Helvetica"/>
          <w:szCs w:val="24"/>
        </w:rPr>
      </w:pPr>
      <w:r w:rsidRPr="00BF0739">
        <w:rPr>
          <w:rFonts w:ascii="Helvetica" w:hAnsi="Helvetica"/>
          <w:szCs w:val="24"/>
        </w:rPr>
        <w:t>13. Aparatas pagal bet kurį vieną iš 9-</w:t>
      </w:r>
      <w:bookmarkStart w:id="0" w:name="_GoBack"/>
      <w:bookmarkEnd w:id="0"/>
      <w:r w:rsidRPr="00BF0739">
        <w:rPr>
          <w:rFonts w:ascii="Helvetica" w:hAnsi="Helvetica"/>
          <w:szCs w:val="24"/>
        </w:rPr>
        <w:t>12 punktų, papildomai apimantis vienpusį veidrodį (16), vienpusis veidrodis (16) slepia nuo vartotojo žvilgsnio priemones biometrinėms savybėms aptikti.</w:t>
      </w:r>
    </w:p>
    <w:sectPr w:rsidR="0018473C" w:rsidRPr="00BF0739" w:rsidSect="00BF0739">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433" w:rsidRDefault="00447433" w:rsidP="00BF0739">
      <w:r>
        <w:separator/>
      </w:r>
    </w:p>
  </w:endnote>
  <w:endnote w:type="continuationSeparator" w:id="0">
    <w:p w:rsidR="00447433" w:rsidRDefault="00447433" w:rsidP="00BF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433" w:rsidRDefault="00447433" w:rsidP="00BF0739">
      <w:r>
        <w:separator/>
      </w:r>
    </w:p>
  </w:footnote>
  <w:footnote w:type="continuationSeparator" w:id="0">
    <w:p w:rsidR="00447433" w:rsidRDefault="00447433" w:rsidP="00BF0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39"/>
    <w:rsid w:val="0000726D"/>
    <w:rsid w:val="0001453C"/>
    <w:rsid w:val="00026117"/>
    <w:rsid w:val="0003391F"/>
    <w:rsid w:val="00037188"/>
    <w:rsid w:val="000400F7"/>
    <w:rsid w:val="0005384F"/>
    <w:rsid w:val="000657CC"/>
    <w:rsid w:val="0007652B"/>
    <w:rsid w:val="00091494"/>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47433"/>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407F"/>
    <w:rsid w:val="00BC6E44"/>
    <w:rsid w:val="00BD7F05"/>
    <w:rsid w:val="00BF0739"/>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911DB5-4889-488E-9D6A-ED66E091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39"/>
    <w:pPr>
      <w:tabs>
        <w:tab w:val="center" w:pos="4819"/>
        <w:tab w:val="right" w:pos="9638"/>
      </w:tabs>
    </w:pPr>
  </w:style>
  <w:style w:type="character" w:customStyle="1" w:styleId="HeaderChar">
    <w:name w:val="Header Char"/>
    <w:basedOn w:val="DefaultParagraphFont"/>
    <w:link w:val="Header"/>
    <w:uiPriority w:val="99"/>
    <w:rsid w:val="00BF0739"/>
    <w:rPr>
      <w:lang w:eastAsia="en-US"/>
    </w:rPr>
  </w:style>
  <w:style w:type="paragraph" w:styleId="Footer">
    <w:name w:val="footer"/>
    <w:basedOn w:val="Normal"/>
    <w:link w:val="FooterChar"/>
    <w:uiPriority w:val="99"/>
    <w:unhideWhenUsed/>
    <w:rsid w:val="00BF0739"/>
    <w:pPr>
      <w:tabs>
        <w:tab w:val="center" w:pos="4819"/>
        <w:tab w:val="right" w:pos="9638"/>
      </w:tabs>
    </w:pPr>
  </w:style>
  <w:style w:type="character" w:customStyle="1" w:styleId="FooterChar">
    <w:name w:val="Footer Char"/>
    <w:basedOn w:val="DefaultParagraphFont"/>
    <w:link w:val="Footer"/>
    <w:uiPriority w:val="99"/>
    <w:rsid w:val="00BF07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729</Words>
  <Characters>4637</Characters>
  <Application>Microsoft Office Word</Application>
  <DocSecurity>0</DocSecurity>
  <Lines>76</Lines>
  <Paragraphs>26</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2022-02-04T12:43:00Z</dcterms:created>
  <dcterms:modified xsi:type="dcterms:W3CDTF">2022-02-04T12:47:00Z</dcterms:modified>
</cp:coreProperties>
</file>