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5-Dichloracetil-3,3,6-trimetil-9-okso-1,5-diabiciklo-[4,3,0]nonano gavimas veikiant 3,3,6-trimetil-9-okso-1,5-diabiciklo-[4,3,0]nonaną dichloracetilchloridu, esant tirpikliui ir bazei, pasižymintis tuo, kad@a) ši reakcija vyksta dvifazėje sistemoje, sudarytoje iš praktiškai netirpaus vandenyje organinio tirpiklio ir vandens, o natrio arba kalio šarmas kaip bazė dozuojamas pagal dichloracetilchlorido sunaudojimą tokiu būdu, kad vandeninės fazės pH būtų nuo 7 iki 9, ir@b) susidarantį kietą produktą atskiria.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