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degtinės-likerio pramonei, konkrečiai ingredientų receptūroms, kurios panaudojamos trauktinių gamyboje. Tikslas - gauti tokią aromatinių ingredientų kompozicija, kuri pasižymėtų geromis skoninėmis ir gydomosiomis savybėmis. Siūloma kompozicija papildomai turi kadagio uogų ir apynių, o jos komponentų sudėtis, kg/100 dal:@kadagio uogos</w:t>
        <w:tab/>
        <w:tab/>
        <w:t>24,0-26,0@liepos žiedai</w:t>
        <w:tab/>
        <w:tab/>
        <w:t>14,0-16,0@apyniai</w:t>
        <w:tab/>
        <w:tab/>
        <w:tab/>
        <w:t>24,0-26,0@citrinos rūgštis</w:t>
        <w:tab/>
        <w:tab/>
        <w:t>14,0-16,0@spiritas</w:t>
        <w:tab/>
        <w:tab/>
        <w:tab/>
        <w:t>63,0-66,0@vanduo</w:t>
        <w:tab/>
        <w:tab/>
        <w:tab/>
        <w:t>iki bendro trauktinės kiekio.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