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20F3" w14:textId="684B917E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1. D-</w:t>
      </w:r>
      <w:proofErr w:type="spellStart"/>
      <w:r w:rsidR="00487A21">
        <w:rPr>
          <w:rFonts w:ascii="Helvetica" w:eastAsia="Calibri" w:hAnsi="Helvetica" w:cs="Arial"/>
          <w:sz w:val="20"/>
          <w:szCs w:val="24"/>
        </w:rPr>
        <w:t>g</w:t>
      </w:r>
      <w:r w:rsidRPr="00CE4973">
        <w:rPr>
          <w:rFonts w:ascii="Helvetica" w:eastAsia="Calibri" w:hAnsi="Helvetica" w:cs="Arial"/>
          <w:sz w:val="20"/>
          <w:szCs w:val="24"/>
        </w:rPr>
        <w:t>liucitolis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,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)-, 1-(6-amino-3,5-difluorpiridin-2-il)-8-chlor-6-fluor-1,4-dihidro-7-(3-hidroksiazetidin-1-il)-4-okso-3-chinolinkarboksilatas (druska).</w:t>
      </w:r>
    </w:p>
    <w:p w14:paraId="1099E252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7A8C27AC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2. Terapinė kompozicija, apimanti kristalinį D-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gliucitolį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,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)-, 1-(6-amino-3,5-difluorpiridin-2-il)-8-chlor-6-fluor-1,4-dihidro-7-(3-hidroksiazetidin-1-il)-4-okso-3-chinolinkarboksilato druską ir pagalbinę medžiagą.</w:t>
      </w:r>
    </w:p>
    <w:p w14:paraId="6DDAE10D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00F89B66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3. Kompozicija pagal 2 punktą, kur druskos yra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terapiškai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priimtinas kiekis.</w:t>
      </w:r>
    </w:p>
    <w:p w14:paraId="5C6E4C47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0E7130CA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4. Kompozicija pagal 2 punktą, kur druska yra bent apie 95 % kristalinio grynumo.</w:t>
      </w:r>
    </w:p>
    <w:p w14:paraId="27697107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1321E380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5. Kompozicija pagal 2 punktą, kur druska yra maždaug 97 % chemiškai gryna.</w:t>
      </w:r>
    </w:p>
    <w:p w14:paraId="162163B2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19FA4E00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6. Kompozicija pagal 2 punktą, kur druska yra maždaug 98 % chemiškai gryna.</w:t>
      </w:r>
    </w:p>
    <w:p w14:paraId="328F2187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3806157B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7. Kompozicija pagal 2 punktą, kur druska yra maždaug 100 % chemiškai gryna.</w:t>
      </w:r>
    </w:p>
    <w:p w14:paraId="5C72D690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3C9E4C12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8. Kompozicija pagal 2 punktą, kur kompozicija yra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peroraliai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vartojama vaisto forma.</w:t>
      </w:r>
    </w:p>
    <w:p w14:paraId="1FD92EC0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69E337EA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9. Kompozicija pagal 2 punktą, kur kompozicija yra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parenteriniu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būdu vartojama vaisto forma.</w:t>
      </w:r>
    </w:p>
    <w:p w14:paraId="4CE506BD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09406EBC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10. Terapinė kompozicija, apimanti kristalinį D-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gliucitolį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,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)-, 1-(6- amino-3,5-difluorpiridin-2-il)-8-chlor-6-fluor-1,4-dihidro-7-(3-hidroksiazetidin-1-il)-4-okso-3-chinolinkarboksilato druską,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povidoną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, celiuliozę ir magnio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stearatą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, kur kompozicija yra kieta vaisto forma, skirta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peroraliniam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vartojimui.</w:t>
      </w:r>
    </w:p>
    <w:p w14:paraId="07E4CF42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6FEFC9DA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11. Kompozicija pagal 10 punktą, kur druskos yra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terapiškai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priimtinas kiekis.</w:t>
      </w:r>
    </w:p>
    <w:p w14:paraId="5D1F96D8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1FEAD6FB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12. Kompozicija, apimanti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terapiškai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priimtiną kiekį kristalinio D-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gliucitolio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,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)-, 1-(6-amino-3,5-difluorpiridin-2-il)-8-chlor-6-fluor-1,4-dihidro-7-(3-hidroksiazetidin-1-il)-4-okso-3-chinolinkarboksilato druskos ir pagalbinės medžiagos, skirta naudoti žuvies arba žinduolių bakterinės infekcijos gydymui.</w:t>
      </w:r>
    </w:p>
    <w:p w14:paraId="0F460DFD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0D935C3C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13. Kompozicija, skirta naudoti pagal 12 punktą, kur druska yra skiriama žinduoliui.</w:t>
      </w:r>
    </w:p>
    <w:p w14:paraId="69461B8C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419BBB14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 xml:space="preserve">14. Kompozicija, skirta naudoti pagal 12 punktą, kur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terapiškai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priimtinas kiekis yra nuo maždaug 0,03 iki maždaug 200 mg/kg kūno svorio.</w:t>
      </w:r>
    </w:p>
    <w:p w14:paraId="0E64B35A" w14:textId="77777777" w:rsidR="00275099" w:rsidRPr="00CE4973" w:rsidRDefault="00275099" w:rsidP="00CE4973">
      <w:pPr>
        <w:spacing w:after="0" w:line="360" w:lineRule="auto"/>
        <w:jc w:val="both"/>
        <w:rPr>
          <w:rFonts w:ascii="Helvetica" w:eastAsia="Calibri" w:hAnsi="Helvetica" w:cs="Arial"/>
          <w:sz w:val="20"/>
          <w:szCs w:val="24"/>
        </w:rPr>
      </w:pPr>
    </w:p>
    <w:p w14:paraId="4841494E" w14:textId="77777777" w:rsidR="00275099" w:rsidRPr="00CE4973" w:rsidRDefault="00275099" w:rsidP="00CE4973">
      <w:pPr>
        <w:spacing w:after="0" w:line="360" w:lineRule="auto"/>
        <w:ind w:firstLine="567"/>
        <w:jc w:val="both"/>
        <w:rPr>
          <w:rFonts w:ascii="Helvetica" w:eastAsia="Calibri" w:hAnsi="Helvetica" w:cs="Arial"/>
          <w:sz w:val="20"/>
          <w:szCs w:val="24"/>
        </w:rPr>
      </w:pPr>
      <w:r w:rsidRPr="00CE4973">
        <w:rPr>
          <w:rFonts w:ascii="Helvetica" w:eastAsia="Calibri" w:hAnsi="Helvetica" w:cs="Arial"/>
          <w:sz w:val="20"/>
          <w:szCs w:val="24"/>
        </w:rPr>
        <w:t>15. Gamybos būdas D-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gliucitolio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,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)-, 1-(6-amino-3,5-difluorpiridin-2-il)-8-chlor-6-fluor-1,4-dihidro-7-(3-hidroksiazetidin-1-il)-4-okso-3-chinolinkarboksilato (druskos), nuosekliai (i) sujungiant 50 kg 1-(6-amino-3,5-difluorpiridin-2-il)-8-chlor-6-fluor-1,4-dihidro-7-(3-hidroksiazetidin-1-il)-4-okso-3-chinolinkarboksilat0 ir 26,1 kg 1-deoksi-1-(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metilamino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>)-D-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gliucitolio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, (ii) skiedžiant mišinį, gautą (i) 75,5 kg vandens ir 60,2 kg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izopropanolio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, (iii) maišant 45 °C temperatūroje, (iv) atšaldant iki 30 °C ± 5 °C, (v) apdorojant 175,7 kg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izopropanolio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30 °C temperatūroje, (vi) filtruojant, (vii) plaunant </w:t>
      </w:r>
      <w:proofErr w:type="spellStart"/>
      <w:r w:rsidRPr="00CE4973">
        <w:rPr>
          <w:rFonts w:ascii="Helvetica" w:eastAsia="Calibri" w:hAnsi="Helvetica" w:cs="Arial"/>
          <w:sz w:val="20"/>
          <w:szCs w:val="24"/>
        </w:rPr>
        <w:t>izopropanoliu</w:t>
      </w:r>
      <w:proofErr w:type="spellEnd"/>
      <w:r w:rsidRPr="00CE4973">
        <w:rPr>
          <w:rFonts w:ascii="Helvetica" w:eastAsia="Calibri" w:hAnsi="Helvetica" w:cs="Arial"/>
          <w:sz w:val="20"/>
          <w:szCs w:val="24"/>
        </w:rPr>
        <w:t xml:space="preserve"> filtratą, gautą (vi), ir (viii) džiovinant sumažintame slėgyje 12 valandų 30 °C temperatūroje, ir po to 50 °C temperatūroje.</w:t>
      </w:r>
    </w:p>
    <w:sectPr w:rsidR="00275099" w:rsidRPr="00CE4973" w:rsidSect="00CE497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D429" w14:textId="77777777" w:rsidR="00981FBF" w:rsidRDefault="00981FBF">
      <w:pPr>
        <w:spacing w:after="0" w:line="240" w:lineRule="auto"/>
      </w:pPr>
      <w:r>
        <w:separator/>
      </w:r>
    </w:p>
  </w:endnote>
  <w:endnote w:type="continuationSeparator" w:id="0">
    <w:p w14:paraId="6D5A0590" w14:textId="77777777" w:rsidR="00981FBF" w:rsidRDefault="0098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23D1" w14:textId="77777777" w:rsidR="00981FBF" w:rsidRDefault="00981FBF">
      <w:pPr>
        <w:spacing w:after="0" w:line="240" w:lineRule="auto"/>
      </w:pPr>
      <w:r>
        <w:separator/>
      </w:r>
    </w:p>
  </w:footnote>
  <w:footnote w:type="continuationSeparator" w:id="0">
    <w:p w14:paraId="40DB16FA" w14:textId="77777777" w:rsidR="00981FBF" w:rsidRDefault="00981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99"/>
    <w:rsid w:val="00141C0A"/>
    <w:rsid w:val="00275099"/>
    <w:rsid w:val="00487A21"/>
    <w:rsid w:val="0054002E"/>
    <w:rsid w:val="0073747B"/>
    <w:rsid w:val="00981FBF"/>
    <w:rsid w:val="009C100E"/>
    <w:rsid w:val="00C834C1"/>
    <w:rsid w:val="00C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2C40"/>
  <w15:chartTrackingRefBased/>
  <w15:docId w15:val="{C53C1F3B-F97F-4088-9718-256460A4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4C1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5099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7509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49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4973"/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dc:description/>
  <cp:lastModifiedBy>Rasa Gurčytė</cp:lastModifiedBy>
  <cp:revision>6</cp:revision>
  <dcterms:created xsi:type="dcterms:W3CDTF">2021-12-06T07:43:00Z</dcterms:created>
  <dcterms:modified xsi:type="dcterms:W3CDTF">2022-01-14T08:36:00Z</dcterms:modified>
</cp:coreProperties>
</file>