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7022" w14:textId="3AED9667" w:rsidR="002D57F6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1. </w:t>
      </w:r>
      <w:r w:rsidR="00D10D2E" w:rsidRPr="002129B4">
        <w:rPr>
          <w:rFonts w:ascii="Helvetica" w:hAnsi="Helvetica" w:cs="Arial"/>
          <w:sz w:val="20"/>
        </w:rPr>
        <w:t xml:space="preserve">Labai koncentruota, stabili farmacinė kompozicija, skirta švirkšti 120 ± 20 mg/ml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po oda, apimanti:</w:t>
      </w:r>
    </w:p>
    <w:p w14:paraId="23895FD6" w14:textId="378B26B2" w:rsidR="002D57F6" w:rsidRPr="002129B4" w:rsidRDefault="002129B4" w:rsidP="002129B4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a. </w:t>
      </w:r>
      <w:r w:rsidR="00D10D2E" w:rsidRPr="002129B4">
        <w:rPr>
          <w:rFonts w:ascii="Helvetica" w:hAnsi="Helvetica" w:cs="Arial"/>
          <w:sz w:val="20"/>
        </w:rPr>
        <w:t>maždaug 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buferinės medžiagos, parinktos iš grupės, kurią sudaro acto rūgštis, citrinų rūgštis, </w:t>
      </w:r>
      <w:proofErr w:type="spellStart"/>
      <w:r w:rsidR="00D10D2E" w:rsidRPr="002129B4">
        <w:rPr>
          <w:rFonts w:ascii="Helvetica" w:hAnsi="Helvetica" w:cs="Arial"/>
          <w:sz w:val="20"/>
        </w:rPr>
        <w:t>histidino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buferinis tirpalas ir L-</w:t>
      </w:r>
      <w:proofErr w:type="spellStart"/>
      <w:r w:rsidR="00D10D2E" w:rsidRPr="002129B4">
        <w:rPr>
          <w:rFonts w:ascii="Helvetica" w:hAnsi="Helvetica" w:cs="Arial"/>
          <w:sz w:val="20"/>
        </w:rPr>
        <w:t>histidinas</w:t>
      </w:r>
      <w:proofErr w:type="spellEnd"/>
      <w:r w:rsidR="00D10D2E" w:rsidRPr="002129B4">
        <w:rPr>
          <w:rFonts w:ascii="Helvetica" w:hAnsi="Helvetica" w:cs="Arial"/>
          <w:sz w:val="20"/>
        </w:rPr>
        <w:t>/</w:t>
      </w:r>
      <w:proofErr w:type="spellStart"/>
      <w:r w:rsidR="00D10D2E" w:rsidRPr="002129B4">
        <w:rPr>
          <w:rFonts w:ascii="Helvetica" w:hAnsi="Helvetica" w:cs="Arial"/>
          <w:sz w:val="20"/>
        </w:rPr>
        <w:t>HCl</w:t>
      </w:r>
      <w:proofErr w:type="spellEnd"/>
      <w:r w:rsidR="00D10D2E" w:rsidRPr="002129B4">
        <w:rPr>
          <w:rFonts w:ascii="Helvetica" w:hAnsi="Helvetica" w:cs="Arial"/>
          <w:sz w:val="20"/>
        </w:rPr>
        <w:t>, kur buferinė medžiaga užtikrina pH, parinktą iš grupės, kurią sudaro 5,5, 6,0, 6,1 ir 6,5;</w:t>
      </w:r>
    </w:p>
    <w:p w14:paraId="573B6879" w14:textId="401AA333" w:rsidR="002D57F6" w:rsidRPr="002129B4" w:rsidRDefault="002129B4" w:rsidP="002129B4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b. </w:t>
      </w:r>
      <w:r w:rsidR="00D10D2E" w:rsidRPr="002129B4">
        <w:rPr>
          <w:rFonts w:ascii="Helvetica" w:hAnsi="Helvetica" w:cs="Arial"/>
          <w:sz w:val="20"/>
        </w:rPr>
        <w:t>maždaug 15–250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stabilizatoriaus, kur stabilizatorius yra cukrus, kurio kiekis yra nuo maždaug 210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iki maždaug 240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ir kur kaip antrasis stabilizatorius naudojamas </w:t>
      </w:r>
      <w:proofErr w:type="spellStart"/>
      <w:r w:rsidR="00D10D2E" w:rsidRPr="002129B4">
        <w:rPr>
          <w:rFonts w:ascii="Helvetica" w:hAnsi="Helvetica" w:cs="Arial"/>
          <w:sz w:val="20"/>
        </w:rPr>
        <w:t>metioninas</w:t>
      </w:r>
      <w:proofErr w:type="spellEnd"/>
      <w:r w:rsidR="00D10D2E" w:rsidRPr="002129B4">
        <w:rPr>
          <w:rFonts w:ascii="Helvetica" w:hAnsi="Helvetica" w:cs="Arial"/>
          <w:sz w:val="20"/>
        </w:rPr>
        <w:t>, kurio koncentracija yra 5–25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>;</w:t>
      </w:r>
    </w:p>
    <w:p w14:paraId="031218A5" w14:textId="26A5BB74" w:rsidR="002D57F6" w:rsidRPr="002129B4" w:rsidRDefault="002129B4" w:rsidP="002129B4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c. </w:t>
      </w:r>
      <w:r w:rsidR="00D10D2E" w:rsidRPr="002129B4">
        <w:rPr>
          <w:rFonts w:ascii="Helvetica" w:hAnsi="Helvetica" w:cs="Arial"/>
          <w:sz w:val="20"/>
        </w:rPr>
        <w:t xml:space="preserve">maždaug 0,02–0,06 % (m/t) </w:t>
      </w:r>
      <w:proofErr w:type="spellStart"/>
      <w:r w:rsidR="00D10D2E" w:rsidRPr="002129B4">
        <w:rPr>
          <w:rFonts w:ascii="Helvetica" w:hAnsi="Helvetica" w:cs="Arial"/>
          <w:sz w:val="20"/>
        </w:rPr>
        <w:t>nejoninės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aktyviosios paviršiaus medžiagos, parinktos iš grupės, kurią sudaro </w:t>
      </w:r>
      <w:proofErr w:type="spellStart"/>
      <w:r w:rsidR="00D10D2E" w:rsidRPr="002129B4">
        <w:rPr>
          <w:rFonts w:ascii="Helvetica" w:hAnsi="Helvetica" w:cs="Arial"/>
          <w:sz w:val="20"/>
        </w:rPr>
        <w:t>polisorbatas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20, </w:t>
      </w:r>
      <w:proofErr w:type="spellStart"/>
      <w:r w:rsidR="00D10D2E" w:rsidRPr="002129B4">
        <w:rPr>
          <w:rFonts w:ascii="Helvetica" w:hAnsi="Helvetica" w:cs="Arial"/>
          <w:sz w:val="20"/>
        </w:rPr>
        <w:t>polisorbatas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80 ir polietileno-polipropileno </w:t>
      </w:r>
      <w:proofErr w:type="spellStart"/>
      <w:r w:rsidR="00D10D2E" w:rsidRPr="002129B4">
        <w:rPr>
          <w:rFonts w:ascii="Helvetica" w:hAnsi="Helvetica" w:cs="Arial"/>
          <w:sz w:val="20"/>
        </w:rPr>
        <w:t>kopolimeras</w:t>
      </w:r>
      <w:proofErr w:type="spellEnd"/>
      <w:r w:rsidR="00D10D2E" w:rsidRPr="002129B4">
        <w:rPr>
          <w:rFonts w:ascii="Helvetica" w:hAnsi="Helvetica" w:cs="Arial"/>
          <w:sz w:val="20"/>
        </w:rPr>
        <w:t>; ir</w:t>
      </w:r>
    </w:p>
    <w:p w14:paraId="30AE241E" w14:textId="672319BD" w:rsidR="002D57F6" w:rsidRPr="002129B4" w:rsidRDefault="002129B4" w:rsidP="002129B4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d. </w:t>
      </w:r>
      <w:r w:rsidR="00D10D2E" w:rsidRPr="002129B4">
        <w:rPr>
          <w:rFonts w:ascii="Helvetica" w:hAnsi="Helvetica" w:cs="Arial"/>
          <w:sz w:val="20"/>
        </w:rPr>
        <w:t xml:space="preserve">maždaug 2 000 U/ml arba maždaug 12 000 U/ml </w:t>
      </w:r>
      <w:proofErr w:type="spellStart"/>
      <w:r w:rsidR="00D10D2E" w:rsidRPr="002129B4">
        <w:rPr>
          <w:rFonts w:ascii="Helvetica" w:hAnsi="Helvetica" w:cs="Arial"/>
          <w:sz w:val="20"/>
        </w:rPr>
        <w:t>hialuronidazės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fermento rHuPH20, kur punkte vartojamas terminas „maždaug“ reiškia +/–10 % nurodytos vertės.</w:t>
      </w:r>
    </w:p>
    <w:p w14:paraId="6792E52F" w14:textId="77777777" w:rsidR="002129B4" w:rsidRPr="002129B4" w:rsidRDefault="002129B4" w:rsidP="002129B4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 w:cs="Arial"/>
          <w:sz w:val="20"/>
        </w:rPr>
      </w:pPr>
    </w:p>
    <w:p w14:paraId="28D18077" w14:textId="69F06E3E" w:rsidR="002D57F6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2. </w:t>
      </w:r>
      <w:r w:rsidR="00D10D2E" w:rsidRPr="002129B4">
        <w:rPr>
          <w:rFonts w:ascii="Helvetica" w:hAnsi="Helvetica" w:cs="Arial"/>
          <w:sz w:val="20"/>
        </w:rPr>
        <w:t xml:space="preserve">Labai koncentruota, stabili farmacinė kompozicija pagal 1 punktą, apimanti 120 mg/ml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>, 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L-</w:t>
      </w:r>
      <w:proofErr w:type="spellStart"/>
      <w:r w:rsidR="00D10D2E" w:rsidRPr="002129B4">
        <w:rPr>
          <w:rFonts w:ascii="Helvetica" w:hAnsi="Helvetica" w:cs="Arial"/>
          <w:sz w:val="20"/>
        </w:rPr>
        <w:t>histidino</w:t>
      </w:r>
      <w:proofErr w:type="spellEnd"/>
      <w:r w:rsidR="00D10D2E" w:rsidRPr="002129B4">
        <w:rPr>
          <w:rFonts w:ascii="Helvetica" w:hAnsi="Helvetica" w:cs="Arial"/>
          <w:sz w:val="20"/>
        </w:rPr>
        <w:t>, 210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trehalozės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dihidrato</w:t>
      </w:r>
      <w:proofErr w:type="spellEnd"/>
      <w:r w:rsidR="00D10D2E" w:rsidRPr="002129B4">
        <w:rPr>
          <w:rFonts w:ascii="Helvetica" w:hAnsi="Helvetica" w:cs="Arial"/>
          <w:sz w:val="20"/>
        </w:rPr>
        <w:t>, 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metionino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0,06 % (m/t) </w:t>
      </w:r>
      <w:proofErr w:type="spellStart"/>
      <w:r w:rsidR="00D10D2E" w:rsidRPr="002129B4">
        <w:rPr>
          <w:rFonts w:ascii="Helvetica" w:hAnsi="Helvetica" w:cs="Arial"/>
          <w:sz w:val="20"/>
        </w:rPr>
        <w:t>polisorbato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80, 2 000 U/ml rHuPH20, esant 5,5 pH.</w:t>
      </w:r>
    </w:p>
    <w:p w14:paraId="0685E530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35F9B317" w14:textId="397A5DCC" w:rsidR="002D57F6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3. </w:t>
      </w:r>
      <w:r w:rsidR="00D10D2E" w:rsidRPr="002129B4">
        <w:rPr>
          <w:rFonts w:ascii="Helvetica" w:hAnsi="Helvetica" w:cs="Arial"/>
          <w:sz w:val="20"/>
        </w:rPr>
        <w:t xml:space="preserve">Labai koncentruota, stabili farmacinė kompozicija pagal 1 punktą, apimanti 120 mg/ml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>, 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L-</w:t>
      </w:r>
      <w:proofErr w:type="spellStart"/>
      <w:r w:rsidR="00D10D2E" w:rsidRPr="002129B4">
        <w:rPr>
          <w:rFonts w:ascii="Helvetica" w:hAnsi="Helvetica" w:cs="Arial"/>
          <w:sz w:val="20"/>
        </w:rPr>
        <w:t>histidino</w:t>
      </w:r>
      <w:proofErr w:type="spellEnd"/>
      <w:r w:rsidR="00D10D2E" w:rsidRPr="002129B4">
        <w:rPr>
          <w:rFonts w:ascii="Helvetica" w:hAnsi="Helvetica" w:cs="Arial"/>
          <w:sz w:val="20"/>
        </w:rPr>
        <w:t>, 210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trehalozės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dihidrato</w:t>
      </w:r>
      <w:proofErr w:type="spellEnd"/>
      <w:r w:rsidR="00D10D2E" w:rsidRPr="002129B4">
        <w:rPr>
          <w:rFonts w:ascii="Helvetica" w:hAnsi="Helvetica" w:cs="Arial"/>
          <w:sz w:val="20"/>
        </w:rPr>
        <w:t>, 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metionino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0,06 % (m/t) </w:t>
      </w:r>
      <w:proofErr w:type="spellStart"/>
      <w:r w:rsidR="00D10D2E" w:rsidRPr="002129B4">
        <w:rPr>
          <w:rFonts w:ascii="Helvetica" w:hAnsi="Helvetica" w:cs="Arial"/>
          <w:sz w:val="20"/>
        </w:rPr>
        <w:t>polisorbato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80, 2 000 U/ml rHuPH20, esant 6,1 pH.</w:t>
      </w:r>
    </w:p>
    <w:p w14:paraId="3C5EE20E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20E72913" w14:textId="1E144333" w:rsidR="002D57F6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4. </w:t>
      </w:r>
      <w:r w:rsidR="00D10D2E" w:rsidRPr="002129B4">
        <w:rPr>
          <w:rFonts w:ascii="Helvetica" w:hAnsi="Helvetica" w:cs="Arial"/>
          <w:sz w:val="20"/>
        </w:rPr>
        <w:t xml:space="preserve">Labai koncentruota, stabili farmacinė kompozicija pagal 1 punktą, apimanti 120 mg/ml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>, 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L-</w:t>
      </w:r>
      <w:proofErr w:type="spellStart"/>
      <w:r w:rsidR="00D10D2E" w:rsidRPr="002129B4">
        <w:rPr>
          <w:rFonts w:ascii="Helvetica" w:hAnsi="Helvetica" w:cs="Arial"/>
          <w:sz w:val="20"/>
        </w:rPr>
        <w:t>histidino</w:t>
      </w:r>
      <w:proofErr w:type="spellEnd"/>
      <w:r w:rsidR="00D10D2E" w:rsidRPr="002129B4">
        <w:rPr>
          <w:rFonts w:ascii="Helvetica" w:hAnsi="Helvetica" w:cs="Arial"/>
          <w:sz w:val="20"/>
        </w:rPr>
        <w:t>, 210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trehalozės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dihidrato</w:t>
      </w:r>
      <w:proofErr w:type="spellEnd"/>
      <w:r w:rsidR="00D10D2E" w:rsidRPr="002129B4">
        <w:rPr>
          <w:rFonts w:ascii="Helvetica" w:hAnsi="Helvetica" w:cs="Arial"/>
          <w:sz w:val="20"/>
        </w:rPr>
        <w:t>, 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metionino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0,06 % (m/t) </w:t>
      </w:r>
      <w:proofErr w:type="spellStart"/>
      <w:r w:rsidR="00D10D2E" w:rsidRPr="002129B4">
        <w:rPr>
          <w:rFonts w:ascii="Helvetica" w:hAnsi="Helvetica" w:cs="Arial"/>
          <w:sz w:val="20"/>
        </w:rPr>
        <w:t>polisorbato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80, 12 000 U/ml rHuPH20, esant 5,5 pH.</w:t>
      </w:r>
    </w:p>
    <w:p w14:paraId="3939EDE4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5513BEFC" w14:textId="5763BD0E" w:rsidR="002D57F6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5. </w:t>
      </w:r>
      <w:r w:rsidR="00D10D2E" w:rsidRPr="002129B4">
        <w:rPr>
          <w:rFonts w:ascii="Helvetica" w:hAnsi="Helvetica" w:cs="Arial"/>
          <w:sz w:val="20"/>
        </w:rPr>
        <w:t xml:space="preserve">Labai koncentruota, stabili farmacinė kompozicija pagal 1 punktą, apimanti 120 mg/ml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>, 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acto rūgšties, 210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trehalozės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dihidrato</w:t>
      </w:r>
      <w:proofErr w:type="spellEnd"/>
      <w:r w:rsidR="00D10D2E" w:rsidRPr="002129B4">
        <w:rPr>
          <w:rFonts w:ascii="Helvetica" w:hAnsi="Helvetica" w:cs="Arial"/>
          <w:sz w:val="20"/>
        </w:rPr>
        <w:t>, 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metionino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0,06 % (m/t) </w:t>
      </w:r>
      <w:proofErr w:type="spellStart"/>
      <w:r w:rsidR="00D10D2E" w:rsidRPr="002129B4">
        <w:rPr>
          <w:rFonts w:ascii="Helvetica" w:hAnsi="Helvetica" w:cs="Arial"/>
          <w:sz w:val="20"/>
        </w:rPr>
        <w:t>polisorbato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20, 12 000 U/ml rHuPH20, esant 5,5 pH.</w:t>
      </w:r>
    </w:p>
    <w:p w14:paraId="79EE0A4F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24E2D87D" w14:textId="12BD0D69" w:rsidR="002D57F6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6. </w:t>
      </w:r>
      <w:r w:rsidR="00D10D2E" w:rsidRPr="002129B4">
        <w:rPr>
          <w:rFonts w:ascii="Helvetica" w:hAnsi="Helvetica" w:cs="Arial"/>
          <w:sz w:val="20"/>
        </w:rPr>
        <w:t xml:space="preserve">Labai koncentruota, stabili farmacinė kompozicija pagal 1 punktą, apimanti 120 mg/ml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>, 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L-</w:t>
      </w:r>
      <w:proofErr w:type="spellStart"/>
      <w:r w:rsidR="00D10D2E" w:rsidRPr="002129B4">
        <w:rPr>
          <w:rFonts w:ascii="Helvetica" w:hAnsi="Helvetica" w:cs="Arial"/>
          <w:sz w:val="20"/>
        </w:rPr>
        <w:t>histidino</w:t>
      </w:r>
      <w:proofErr w:type="spellEnd"/>
      <w:r w:rsidR="00D10D2E" w:rsidRPr="002129B4">
        <w:rPr>
          <w:rFonts w:ascii="Helvetica" w:hAnsi="Helvetica" w:cs="Arial"/>
          <w:sz w:val="20"/>
        </w:rPr>
        <w:t>, 210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trehalozės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dihidrato</w:t>
      </w:r>
      <w:proofErr w:type="spellEnd"/>
      <w:r w:rsidR="00D10D2E" w:rsidRPr="002129B4">
        <w:rPr>
          <w:rFonts w:ascii="Helvetica" w:hAnsi="Helvetica" w:cs="Arial"/>
          <w:sz w:val="20"/>
        </w:rPr>
        <w:t>, 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metionino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0,06 % (m/t) </w:t>
      </w:r>
      <w:proofErr w:type="spellStart"/>
      <w:r w:rsidR="00D10D2E" w:rsidRPr="002129B4">
        <w:rPr>
          <w:rFonts w:ascii="Helvetica" w:hAnsi="Helvetica" w:cs="Arial"/>
          <w:sz w:val="20"/>
        </w:rPr>
        <w:t>polisorbato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20, 12 000 U/ml rHuPH20, esant 5,5 pH.</w:t>
      </w:r>
    </w:p>
    <w:p w14:paraId="11948F6D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393C1039" w14:textId="31F9EC48" w:rsidR="002D57F6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7. </w:t>
      </w:r>
      <w:r w:rsidR="00D10D2E" w:rsidRPr="002129B4">
        <w:rPr>
          <w:rFonts w:ascii="Helvetica" w:hAnsi="Helvetica" w:cs="Arial"/>
          <w:sz w:val="20"/>
        </w:rPr>
        <w:t xml:space="preserve">Labai koncentruota, stabili farmacinė kompozicija pagal 1 punktą, apimanti 120 mg/ml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>, 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L-</w:t>
      </w:r>
      <w:proofErr w:type="spellStart"/>
      <w:r w:rsidR="00D10D2E" w:rsidRPr="002129B4">
        <w:rPr>
          <w:rFonts w:ascii="Helvetica" w:hAnsi="Helvetica" w:cs="Arial"/>
          <w:sz w:val="20"/>
        </w:rPr>
        <w:t>histidino</w:t>
      </w:r>
      <w:proofErr w:type="spellEnd"/>
      <w:r w:rsidR="00D10D2E" w:rsidRPr="002129B4">
        <w:rPr>
          <w:rFonts w:ascii="Helvetica" w:hAnsi="Helvetica" w:cs="Arial"/>
          <w:sz w:val="20"/>
        </w:rPr>
        <w:t>, 120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natrio chlorido, 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metionino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0,02 % (m/t) </w:t>
      </w:r>
      <w:proofErr w:type="spellStart"/>
      <w:r w:rsidR="00D10D2E" w:rsidRPr="002129B4">
        <w:rPr>
          <w:rFonts w:ascii="Helvetica" w:hAnsi="Helvetica" w:cs="Arial"/>
          <w:sz w:val="20"/>
        </w:rPr>
        <w:t>polisorbato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80, 12 000 U/ml rHuPH20, esant 5,5 pH.</w:t>
      </w:r>
    </w:p>
    <w:p w14:paraId="73B2ADD5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53875542" w14:textId="18EE0716" w:rsidR="002D57F6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8. </w:t>
      </w:r>
      <w:r w:rsidR="00D10D2E" w:rsidRPr="002129B4">
        <w:rPr>
          <w:rFonts w:ascii="Helvetica" w:hAnsi="Helvetica" w:cs="Arial"/>
          <w:sz w:val="20"/>
        </w:rPr>
        <w:t xml:space="preserve">Labai koncentruota, stabili farmacinė kompozicija pagal 1 punktą, apimanti 120 mg/ml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>, 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citrinų rūgšties, 120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natrio chlorido, 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metionino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0,02 % (m/t) </w:t>
      </w:r>
      <w:proofErr w:type="spellStart"/>
      <w:r w:rsidR="00D10D2E" w:rsidRPr="002129B4">
        <w:rPr>
          <w:rFonts w:ascii="Helvetica" w:hAnsi="Helvetica" w:cs="Arial"/>
          <w:sz w:val="20"/>
        </w:rPr>
        <w:t>polisorbato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80, 12 000 U/ml rHuPH20, esant 6,5 pH.</w:t>
      </w:r>
    </w:p>
    <w:p w14:paraId="7A36AFD7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3F59A8C0" w14:textId="66E25B79" w:rsidR="002D57F6" w:rsidRPr="002129B4" w:rsidRDefault="00537575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>9</w:t>
      </w:r>
      <w:r w:rsidR="002129B4" w:rsidRPr="002129B4">
        <w:rPr>
          <w:rFonts w:ascii="Helvetica" w:hAnsi="Helvetica" w:cs="Arial"/>
          <w:sz w:val="20"/>
        </w:rPr>
        <w:t xml:space="preserve">. </w:t>
      </w:r>
      <w:r w:rsidR="00D10D2E" w:rsidRPr="002129B4">
        <w:rPr>
          <w:rFonts w:ascii="Helvetica" w:hAnsi="Helvetica" w:cs="Arial"/>
          <w:sz w:val="20"/>
        </w:rPr>
        <w:t xml:space="preserve">Labai koncentruota, stabili farmacinė kompozicija pagal 1 punktą, apimanti 120 mg/ml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>, 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citrinų rūgšties, 210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trehalozės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dihidrato</w:t>
      </w:r>
      <w:proofErr w:type="spellEnd"/>
      <w:r w:rsidR="00D10D2E" w:rsidRPr="002129B4">
        <w:rPr>
          <w:rFonts w:ascii="Helvetica" w:hAnsi="Helvetica" w:cs="Arial"/>
          <w:sz w:val="20"/>
        </w:rPr>
        <w:t>, 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metionino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0,06 % (m/t) </w:t>
      </w:r>
      <w:proofErr w:type="spellStart"/>
      <w:r w:rsidR="00D10D2E" w:rsidRPr="002129B4">
        <w:rPr>
          <w:rFonts w:ascii="Helvetica" w:hAnsi="Helvetica" w:cs="Arial"/>
          <w:sz w:val="20"/>
        </w:rPr>
        <w:t>polisorbato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80, 12 000 U/ml rHuPH20, esant 6,5 pH.</w:t>
      </w:r>
    </w:p>
    <w:p w14:paraId="14579A47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6B94312F" w14:textId="3EA52346" w:rsidR="002D57F6" w:rsidRPr="002129B4" w:rsidRDefault="00537575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10. </w:t>
      </w:r>
      <w:r w:rsidR="00D10D2E" w:rsidRPr="002129B4">
        <w:rPr>
          <w:rFonts w:ascii="Helvetica" w:hAnsi="Helvetica" w:cs="Arial"/>
          <w:sz w:val="20"/>
        </w:rPr>
        <w:t xml:space="preserve">Labai koncentruota, stabili farmacinė kompozicija pagal 1 punktą, apimanti 120 mg/ml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>, 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L-</w:t>
      </w:r>
      <w:proofErr w:type="spellStart"/>
      <w:r w:rsidR="00D10D2E" w:rsidRPr="002129B4">
        <w:rPr>
          <w:rFonts w:ascii="Helvetica" w:hAnsi="Helvetica" w:cs="Arial"/>
          <w:sz w:val="20"/>
        </w:rPr>
        <w:t>histidino</w:t>
      </w:r>
      <w:proofErr w:type="spellEnd"/>
      <w:r w:rsidR="00D10D2E" w:rsidRPr="002129B4">
        <w:rPr>
          <w:rFonts w:ascii="Helvetica" w:hAnsi="Helvetica" w:cs="Arial"/>
          <w:sz w:val="20"/>
        </w:rPr>
        <w:t>, 120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natrio chlorido, 10 </w:t>
      </w:r>
      <w:proofErr w:type="spellStart"/>
      <w:r w:rsidR="00D10D2E" w:rsidRPr="002129B4">
        <w:rPr>
          <w:rFonts w:ascii="Helvetica" w:hAnsi="Helvetica" w:cs="Arial"/>
          <w:sz w:val="20"/>
        </w:rPr>
        <w:t>mM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metionino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0,04 % (m/t) </w:t>
      </w:r>
      <w:proofErr w:type="spellStart"/>
      <w:r w:rsidR="00D10D2E" w:rsidRPr="002129B4">
        <w:rPr>
          <w:rFonts w:ascii="Helvetica" w:hAnsi="Helvetica" w:cs="Arial"/>
          <w:sz w:val="20"/>
        </w:rPr>
        <w:t>polisorbato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80, 12 000 U/ml rHuPH20, esant 6,0 pH.</w:t>
      </w:r>
    </w:p>
    <w:p w14:paraId="748B5285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55A09A8B" w14:textId="675923B4" w:rsidR="002D57F6" w:rsidRPr="002129B4" w:rsidRDefault="00537575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11. </w:t>
      </w:r>
      <w:r w:rsidR="00D10D2E" w:rsidRPr="002129B4">
        <w:rPr>
          <w:rFonts w:ascii="Helvetica" w:hAnsi="Helvetica" w:cs="Arial"/>
          <w:sz w:val="20"/>
        </w:rPr>
        <w:t>Kompozicijos pagal bet kurį iš 1–10 punktų naudojimas paruošti vaistui, kuris yra naudingas gydant ligą ar sutrikimą, pasiduodančius gydymui anti-CD20 antikūnu, pageidautina vėžį arba nepiktybinę ligą, apimantis tokio kompozicijos pagal bet kurį iš 1–10 punktų kiekio skyrimą pacientui, koks yra veiksmingas gydant minėtą ligą ar sutrikimą.</w:t>
      </w:r>
    </w:p>
    <w:p w14:paraId="6424DA64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2C225051" w14:textId="62D1AE33" w:rsidR="002D57F6" w:rsidRPr="002129B4" w:rsidRDefault="00537575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12. </w:t>
      </w:r>
      <w:r w:rsidR="00D10D2E" w:rsidRPr="002129B4">
        <w:rPr>
          <w:rFonts w:ascii="Helvetica" w:hAnsi="Helvetica" w:cs="Arial"/>
          <w:sz w:val="20"/>
        </w:rPr>
        <w:t xml:space="preserve">Kompozicijos naudojimas pagal 11 punktą, kur liga yra parinkta iš grupės, kurią sudaro B ląstelių ne </w:t>
      </w:r>
      <w:proofErr w:type="spellStart"/>
      <w:r w:rsidR="00D10D2E" w:rsidRPr="002129B4">
        <w:rPr>
          <w:rFonts w:ascii="Helvetica" w:hAnsi="Helvetica" w:cs="Arial"/>
          <w:sz w:val="20"/>
        </w:rPr>
        <w:t>Hodžkino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limfoma (NHL), folikulinė limfoma, </w:t>
      </w:r>
      <w:proofErr w:type="spellStart"/>
      <w:r w:rsidR="003E18C1" w:rsidRPr="002129B4">
        <w:rPr>
          <w:rFonts w:ascii="Helvetica" w:hAnsi="Helvetica" w:cs="Arial"/>
          <w:sz w:val="20"/>
        </w:rPr>
        <w:t>smulkialąstelinės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limfomos</w:t>
      </w:r>
      <w:r w:rsidR="003E18C1" w:rsidRPr="002129B4">
        <w:rPr>
          <w:rFonts w:ascii="Helvetica" w:hAnsi="Helvetica" w:cs="Arial"/>
          <w:sz w:val="20"/>
        </w:rPr>
        <w:t xml:space="preserve"> su nedalomais branduoliais</w:t>
      </w:r>
      <w:r w:rsidR="00D10D2E" w:rsidRPr="002129B4">
        <w:rPr>
          <w:rFonts w:ascii="Helvetica" w:hAnsi="Helvetica" w:cs="Arial"/>
          <w:sz w:val="20"/>
        </w:rPr>
        <w:t xml:space="preserve"> / </w:t>
      </w:r>
      <w:proofErr w:type="spellStart"/>
      <w:r w:rsidR="00D10D2E" w:rsidRPr="002129B4">
        <w:rPr>
          <w:rFonts w:ascii="Helvetica" w:hAnsi="Helvetica" w:cs="Arial"/>
          <w:sz w:val="20"/>
        </w:rPr>
        <w:t>Burkito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limfoma (įskaitant endeminę </w:t>
      </w:r>
      <w:proofErr w:type="spellStart"/>
      <w:r w:rsidR="00D10D2E" w:rsidRPr="002129B4">
        <w:rPr>
          <w:rFonts w:ascii="Helvetica" w:hAnsi="Helvetica" w:cs="Arial"/>
          <w:sz w:val="20"/>
        </w:rPr>
        <w:t>Burkito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limfomą, sporadinę </w:t>
      </w:r>
      <w:proofErr w:type="spellStart"/>
      <w:r w:rsidR="00D10D2E" w:rsidRPr="002129B4">
        <w:rPr>
          <w:rFonts w:ascii="Helvetica" w:hAnsi="Helvetica" w:cs="Arial"/>
          <w:sz w:val="20"/>
        </w:rPr>
        <w:t>Burkito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limfomą ir ne </w:t>
      </w:r>
      <w:proofErr w:type="spellStart"/>
      <w:r w:rsidR="00D10D2E" w:rsidRPr="002129B4">
        <w:rPr>
          <w:rFonts w:ascii="Helvetica" w:hAnsi="Helvetica" w:cs="Arial"/>
          <w:sz w:val="20"/>
        </w:rPr>
        <w:t>Burkito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limfomą), </w:t>
      </w:r>
      <w:r w:rsidR="003E18C1" w:rsidRPr="002129B4">
        <w:rPr>
          <w:rFonts w:ascii="Helvetica" w:hAnsi="Helvetica" w:cs="Arial"/>
          <w:sz w:val="20"/>
        </w:rPr>
        <w:t xml:space="preserve">ribinės </w:t>
      </w:r>
      <w:r w:rsidR="00D10D2E" w:rsidRPr="002129B4">
        <w:rPr>
          <w:rFonts w:ascii="Helvetica" w:hAnsi="Helvetica" w:cs="Arial"/>
          <w:sz w:val="20"/>
        </w:rPr>
        <w:t xml:space="preserve">zonos limfomos (įskaitant </w:t>
      </w:r>
      <w:proofErr w:type="spellStart"/>
      <w:r w:rsidR="00D10D2E" w:rsidRPr="002129B4">
        <w:rPr>
          <w:rFonts w:ascii="Helvetica" w:hAnsi="Helvetica" w:cs="Arial"/>
          <w:sz w:val="20"/>
        </w:rPr>
        <w:t>ekstranodalinę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r w:rsidR="003E18C1" w:rsidRPr="002129B4">
        <w:rPr>
          <w:rFonts w:ascii="Helvetica" w:hAnsi="Helvetica" w:cs="Arial"/>
          <w:sz w:val="20"/>
        </w:rPr>
        <w:t xml:space="preserve">ribinės </w:t>
      </w:r>
      <w:r w:rsidR="00D10D2E" w:rsidRPr="002129B4">
        <w:rPr>
          <w:rFonts w:ascii="Helvetica" w:hAnsi="Helvetica" w:cs="Arial"/>
          <w:sz w:val="20"/>
        </w:rPr>
        <w:t xml:space="preserve">zonos B ląstelių limfomą (su gleivine susijusio limfinio audinio limfomas, MALT), </w:t>
      </w:r>
      <w:proofErr w:type="spellStart"/>
      <w:r w:rsidR="00D10D2E" w:rsidRPr="002129B4">
        <w:rPr>
          <w:rFonts w:ascii="Helvetica" w:hAnsi="Helvetica" w:cs="Arial"/>
          <w:sz w:val="20"/>
        </w:rPr>
        <w:t>nodalinę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r w:rsidR="003E18C1" w:rsidRPr="002129B4">
        <w:rPr>
          <w:rFonts w:ascii="Helvetica" w:hAnsi="Helvetica" w:cs="Arial"/>
          <w:sz w:val="20"/>
        </w:rPr>
        <w:t xml:space="preserve">ribinės </w:t>
      </w:r>
      <w:r w:rsidR="00D10D2E" w:rsidRPr="002129B4">
        <w:rPr>
          <w:rFonts w:ascii="Helvetica" w:hAnsi="Helvetica" w:cs="Arial"/>
          <w:sz w:val="20"/>
        </w:rPr>
        <w:t xml:space="preserve">zonos B ląstelių limfomą ir blužnies </w:t>
      </w:r>
      <w:r w:rsidR="003E18C1" w:rsidRPr="002129B4">
        <w:rPr>
          <w:rFonts w:ascii="Helvetica" w:hAnsi="Helvetica" w:cs="Arial"/>
          <w:sz w:val="20"/>
        </w:rPr>
        <w:t xml:space="preserve">ribinės </w:t>
      </w:r>
      <w:r w:rsidR="00D10D2E" w:rsidRPr="002129B4">
        <w:rPr>
          <w:rFonts w:ascii="Helvetica" w:hAnsi="Helvetica" w:cs="Arial"/>
          <w:sz w:val="20"/>
        </w:rPr>
        <w:t xml:space="preserve">zonos limfomą), mantijos ląstelių limfoma (MLL), </w:t>
      </w:r>
      <w:r w:rsidR="003E18C1" w:rsidRPr="002129B4">
        <w:rPr>
          <w:rFonts w:ascii="Helvetica" w:hAnsi="Helvetica" w:cs="Arial"/>
          <w:sz w:val="20"/>
        </w:rPr>
        <w:t xml:space="preserve">didžiųjų </w:t>
      </w:r>
      <w:r w:rsidR="00D10D2E" w:rsidRPr="002129B4">
        <w:rPr>
          <w:rFonts w:ascii="Helvetica" w:hAnsi="Helvetica" w:cs="Arial"/>
          <w:sz w:val="20"/>
        </w:rPr>
        <w:t xml:space="preserve">ląstelių limfoma (įskaitant difuzinę </w:t>
      </w:r>
      <w:r w:rsidR="003E18C1" w:rsidRPr="002129B4">
        <w:rPr>
          <w:rFonts w:ascii="Helvetica" w:hAnsi="Helvetica" w:cs="Arial"/>
          <w:sz w:val="20"/>
        </w:rPr>
        <w:t xml:space="preserve">didžiųjų </w:t>
      </w:r>
      <w:r w:rsidR="00D10D2E" w:rsidRPr="002129B4">
        <w:rPr>
          <w:rFonts w:ascii="Helvetica" w:hAnsi="Helvetica" w:cs="Arial"/>
          <w:sz w:val="20"/>
        </w:rPr>
        <w:t xml:space="preserve">B ląstelių limfomą (DDBLL), difuzinę mišrių ląstelių limfomą, </w:t>
      </w:r>
      <w:proofErr w:type="spellStart"/>
      <w:r w:rsidR="00D10D2E" w:rsidRPr="002129B4">
        <w:rPr>
          <w:rFonts w:ascii="Helvetica" w:hAnsi="Helvetica" w:cs="Arial"/>
          <w:sz w:val="20"/>
        </w:rPr>
        <w:t>imunoblastinę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limfomą, pirminę tarpuplaučio B ląstelių limfomą, </w:t>
      </w:r>
      <w:proofErr w:type="spellStart"/>
      <w:r w:rsidR="00D10D2E" w:rsidRPr="002129B4">
        <w:rPr>
          <w:rFonts w:ascii="Helvetica" w:hAnsi="Helvetica" w:cs="Arial"/>
          <w:sz w:val="20"/>
        </w:rPr>
        <w:t>angiocentrinę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limfomą-plaučių B ląstelių limfomą), plaukuotųjų ląstelių limfoma, </w:t>
      </w:r>
      <w:proofErr w:type="spellStart"/>
      <w:r w:rsidR="003E18C1" w:rsidRPr="002129B4">
        <w:rPr>
          <w:rFonts w:ascii="Helvetica" w:hAnsi="Helvetica" w:cs="Arial"/>
          <w:sz w:val="20"/>
        </w:rPr>
        <w:t>limfocitinė</w:t>
      </w:r>
      <w:proofErr w:type="spellEnd"/>
      <w:r w:rsidR="003E18C1" w:rsidRPr="002129B4">
        <w:rPr>
          <w:rFonts w:ascii="Helvetica" w:hAnsi="Helvetica" w:cs="Arial"/>
          <w:sz w:val="20"/>
        </w:rPr>
        <w:t xml:space="preserve"> </w:t>
      </w:r>
      <w:r w:rsidR="00D10D2E" w:rsidRPr="002129B4">
        <w:rPr>
          <w:rFonts w:ascii="Helvetica" w:hAnsi="Helvetica" w:cs="Arial"/>
          <w:sz w:val="20"/>
        </w:rPr>
        <w:t xml:space="preserve">limfoma, </w:t>
      </w:r>
      <w:proofErr w:type="spellStart"/>
      <w:r w:rsidR="00D10D2E" w:rsidRPr="002129B4">
        <w:rPr>
          <w:rFonts w:ascii="Helvetica" w:hAnsi="Helvetica" w:cs="Arial"/>
          <w:sz w:val="20"/>
        </w:rPr>
        <w:t>Valdenštremo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makroglobulinemija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ūminė </w:t>
      </w:r>
      <w:proofErr w:type="spellStart"/>
      <w:r w:rsidR="00D10D2E" w:rsidRPr="002129B4">
        <w:rPr>
          <w:rFonts w:ascii="Helvetica" w:hAnsi="Helvetica" w:cs="Arial"/>
          <w:sz w:val="20"/>
        </w:rPr>
        <w:t>limfoblastinė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leukemija (ŪLL), lėtinė </w:t>
      </w:r>
      <w:proofErr w:type="spellStart"/>
      <w:r w:rsidR="00D10D2E" w:rsidRPr="002129B4">
        <w:rPr>
          <w:rFonts w:ascii="Helvetica" w:hAnsi="Helvetica" w:cs="Arial"/>
          <w:sz w:val="20"/>
        </w:rPr>
        <w:t>limfocitinė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leukemija (LLL), </w:t>
      </w:r>
      <w:r w:rsidR="003E18C1" w:rsidRPr="002129B4">
        <w:rPr>
          <w:rFonts w:ascii="Helvetica" w:hAnsi="Helvetica" w:cs="Arial"/>
          <w:sz w:val="20"/>
        </w:rPr>
        <w:t xml:space="preserve">mažųjų </w:t>
      </w:r>
      <w:r w:rsidR="00D10D2E" w:rsidRPr="002129B4">
        <w:rPr>
          <w:rFonts w:ascii="Helvetica" w:hAnsi="Helvetica" w:cs="Arial"/>
          <w:sz w:val="20"/>
        </w:rPr>
        <w:t xml:space="preserve">limfocitų limfoma (SLL), </w:t>
      </w:r>
      <w:proofErr w:type="spellStart"/>
      <w:r w:rsidR="00D10D2E" w:rsidRPr="002129B4">
        <w:rPr>
          <w:rFonts w:ascii="Helvetica" w:hAnsi="Helvetica" w:cs="Arial"/>
          <w:sz w:val="20"/>
        </w:rPr>
        <w:t>prolimfocitinė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B ląstelių leukemija, plazmos ląstelių navikai, plazmos ląstelių mieloma, daugybinė mieloma, </w:t>
      </w:r>
      <w:proofErr w:type="spellStart"/>
      <w:r w:rsidR="00D10D2E" w:rsidRPr="002129B4">
        <w:rPr>
          <w:rFonts w:ascii="Helvetica" w:hAnsi="Helvetica" w:cs="Arial"/>
          <w:sz w:val="20"/>
        </w:rPr>
        <w:t>plazmacitoma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ir </w:t>
      </w:r>
      <w:proofErr w:type="spellStart"/>
      <w:r w:rsidR="00D10D2E" w:rsidRPr="002129B4">
        <w:rPr>
          <w:rFonts w:ascii="Helvetica" w:hAnsi="Helvetica" w:cs="Arial"/>
          <w:sz w:val="20"/>
        </w:rPr>
        <w:t>Hodžkino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liga.</w:t>
      </w:r>
    </w:p>
    <w:p w14:paraId="126D8471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525B36A9" w14:textId="0D6A12A4" w:rsidR="002D57F6" w:rsidRPr="002129B4" w:rsidRDefault="00537575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13. </w:t>
      </w:r>
      <w:r w:rsidR="00D10D2E" w:rsidRPr="002129B4">
        <w:rPr>
          <w:rFonts w:ascii="Helvetica" w:hAnsi="Helvetica" w:cs="Arial"/>
          <w:sz w:val="20"/>
        </w:rPr>
        <w:t xml:space="preserve">Kompozicijos naudojimas pagal 11 punktą, kur liga yra parinkta iš grupės, kurią sudaro artritas (reumatoidinis artritas, jaunatvinis reumatoidinis artritas, </w:t>
      </w:r>
      <w:proofErr w:type="spellStart"/>
      <w:r w:rsidR="00D10D2E" w:rsidRPr="002129B4">
        <w:rPr>
          <w:rFonts w:ascii="Helvetica" w:hAnsi="Helvetica" w:cs="Arial"/>
          <w:sz w:val="20"/>
        </w:rPr>
        <w:t>osteoartritas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psoriazinis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artritas), psoriazė, dermatitas, </w:t>
      </w:r>
      <w:proofErr w:type="spellStart"/>
      <w:r w:rsidR="00D10D2E" w:rsidRPr="002129B4">
        <w:rPr>
          <w:rFonts w:ascii="Helvetica" w:hAnsi="Helvetica" w:cs="Arial"/>
          <w:sz w:val="20"/>
        </w:rPr>
        <w:t>polimiozitas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 / </w:t>
      </w:r>
      <w:proofErr w:type="spellStart"/>
      <w:r w:rsidR="00D10D2E" w:rsidRPr="002129B4">
        <w:rPr>
          <w:rFonts w:ascii="Helvetica" w:hAnsi="Helvetica" w:cs="Arial"/>
          <w:sz w:val="20"/>
        </w:rPr>
        <w:t>dermatomiozitas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toksinė epidermio </w:t>
      </w:r>
      <w:proofErr w:type="spellStart"/>
      <w:r w:rsidR="00D10D2E" w:rsidRPr="002129B4">
        <w:rPr>
          <w:rFonts w:ascii="Helvetica" w:hAnsi="Helvetica" w:cs="Arial"/>
          <w:sz w:val="20"/>
        </w:rPr>
        <w:t>nekrolizė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sisteminė </w:t>
      </w:r>
      <w:proofErr w:type="spellStart"/>
      <w:r w:rsidR="00D10D2E" w:rsidRPr="002129B4">
        <w:rPr>
          <w:rFonts w:ascii="Helvetica" w:hAnsi="Helvetica" w:cs="Arial"/>
          <w:sz w:val="20"/>
        </w:rPr>
        <w:t>skleroderma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ir sklerozė, atsakai, susiję su uždegimine žarnyno liga, Krono liga, opinis kolitas, respiracinio </w:t>
      </w:r>
      <w:proofErr w:type="spellStart"/>
      <w:r w:rsidR="00D10D2E" w:rsidRPr="002129B4">
        <w:rPr>
          <w:rFonts w:ascii="Helvetica" w:hAnsi="Helvetica" w:cs="Arial"/>
          <w:sz w:val="20"/>
        </w:rPr>
        <w:t>distreso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sindromas, suaugusiųjų respiracinio </w:t>
      </w:r>
      <w:proofErr w:type="spellStart"/>
      <w:r w:rsidR="00D10D2E" w:rsidRPr="002129B4">
        <w:rPr>
          <w:rFonts w:ascii="Helvetica" w:hAnsi="Helvetica" w:cs="Arial"/>
          <w:sz w:val="20"/>
        </w:rPr>
        <w:t>distreso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sindromas (SRDS), meningitas, encefalitas, </w:t>
      </w:r>
      <w:proofErr w:type="spellStart"/>
      <w:r w:rsidR="00D10D2E" w:rsidRPr="002129B4">
        <w:rPr>
          <w:rFonts w:ascii="Helvetica" w:hAnsi="Helvetica" w:cs="Arial"/>
          <w:sz w:val="20"/>
        </w:rPr>
        <w:t>uveitas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kolitas, </w:t>
      </w:r>
      <w:proofErr w:type="spellStart"/>
      <w:r w:rsidR="00D10D2E" w:rsidRPr="002129B4">
        <w:rPr>
          <w:rFonts w:ascii="Helvetica" w:hAnsi="Helvetica" w:cs="Arial"/>
          <w:sz w:val="20"/>
        </w:rPr>
        <w:t>glomerulonefritas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alerginės būklės, egzema, astma, būklės, susijusios su T ląstelių infiltracija ir lėtinėmis uždegiminėmis reakcijomis, aterosklerozė, autoimuninis </w:t>
      </w:r>
      <w:proofErr w:type="spellStart"/>
      <w:r w:rsidR="00D10D2E" w:rsidRPr="002129B4">
        <w:rPr>
          <w:rFonts w:ascii="Helvetica" w:hAnsi="Helvetica" w:cs="Arial"/>
          <w:sz w:val="20"/>
        </w:rPr>
        <w:t>miokarditas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leukocitų sukibimo nepakankamumas, sisteminė raudonoji vilkligė (SRV), jaunatvinis diabetas, išsėtinė sklerozė, alerginis </w:t>
      </w:r>
      <w:proofErr w:type="spellStart"/>
      <w:r w:rsidR="00D10D2E" w:rsidRPr="002129B4">
        <w:rPr>
          <w:rFonts w:ascii="Helvetica" w:hAnsi="Helvetica" w:cs="Arial"/>
          <w:sz w:val="20"/>
        </w:rPr>
        <w:t>encefalomielitas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imuninis atsakas, susijęs su ūminiu ir uždelstu padidėjusiu jautrumu, kuriam tarpininkauja </w:t>
      </w:r>
      <w:proofErr w:type="spellStart"/>
      <w:r w:rsidR="00D10D2E" w:rsidRPr="002129B4">
        <w:rPr>
          <w:rFonts w:ascii="Helvetica" w:hAnsi="Helvetica" w:cs="Arial"/>
          <w:sz w:val="20"/>
        </w:rPr>
        <w:t>citokinai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ir T limfocitai, tuberkuliozė, </w:t>
      </w:r>
      <w:proofErr w:type="spellStart"/>
      <w:r w:rsidR="00D10D2E" w:rsidRPr="002129B4">
        <w:rPr>
          <w:rFonts w:ascii="Helvetica" w:hAnsi="Helvetica" w:cs="Arial"/>
          <w:sz w:val="20"/>
        </w:rPr>
        <w:t>sarkoidozė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granulomatozė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įskaitant </w:t>
      </w:r>
      <w:proofErr w:type="spellStart"/>
      <w:r w:rsidR="00512C4A" w:rsidRPr="002129B4">
        <w:rPr>
          <w:rFonts w:ascii="Helvetica" w:hAnsi="Helvetica" w:cs="Arial"/>
          <w:sz w:val="20"/>
        </w:rPr>
        <w:t>Vegenerio</w:t>
      </w:r>
      <w:proofErr w:type="spellEnd"/>
      <w:r w:rsidR="00512C4A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granulomatozę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agranulocitozė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vaskulitas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(įskaitant ANCA), </w:t>
      </w:r>
      <w:proofErr w:type="spellStart"/>
      <w:r w:rsidR="00D10D2E" w:rsidRPr="002129B4">
        <w:rPr>
          <w:rFonts w:ascii="Helvetica" w:hAnsi="Helvetica" w:cs="Arial"/>
          <w:sz w:val="20"/>
        </w:rPr>
        <w:t>aplazinė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anemija, </w:t>
      </w:r>
      <w:proofErr w:type="spellStart"/>
      <w:r w:rsidR="00D10D2E" w:rsidRPr="002129B4">
        <w:rPr>
          <w:rFonts w:ascii="Helvetica" w:hAnsi="Helvetica" w:cs="Arial"/>
          <w:sz w:val="20"/>
        </w:rPr>
        <w:t>Blekfano-Daimondo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anemija, imuninė hemolizinė anemija, įskaitant autoimuninę hemolizinę anemiją (AIHA), piktybinė anemija, </w:t>
      </w:r>
      <w:r w:rsidR="00A54508" w:rsidRPr="002129B4">
        <w:rPr>
          <w:rFonts w:ascii="Helvetica" w:hAnsi="Helvetica" w:cs="Arial"/>
          <w:sz w:val="20"/>
        </w:rPr>
        <w:t xml:space="preserve">izoliuota </w:t>
      </w:r>
      <w:proofErr w:type="spellStart"/>
      <w:r w:rsidR="00A54508" w:rsidRPr="002129B4">
        <w:rPr>
          <w:rFonts w:ascii="Helvetica" w:hAnsi="Helvetica" w:cs="Arial"/>
          <w:sz w:val="20"/>
        </w:rPr>
        <w:t>aplastinė</w:t>
      </w:r>
      <w:proofErr w:type="spellEnd"/>
      <w:r w:rsidR="00A54508" w:rsidRPr="002129B4">
        <w:rPr>
          <w:rFonts w:ascii="Helvetica" w:hAnsi="Helvetica" w:cs="Arial"/>
          <w:sz w:val="20"/>
        </w:rPr>
        <w:t xml:space="preserve"> anemija</w:t>
      </w:r>
      <w:r w:rsidR="00D10D2E" w:rsidRPr="002129B4">
        <w:rPr>
          <w:rFonts w:ascii="Helvetica" w:hAnsi="Helvetica" w:cs="Arial"/>
          <w:sz w:val="20"/>
        </w:rPr>
        <w:t xml:space="preserve"> (</w:t>
      </w:r>
      <w:r w:rsidR="00A54508" w:rsidRPr="002129B4">
        <w:rPr>
          <w:rFonts w:ascii="Helvetica" w:hAnsi="Helvetica" w:cs="Arial"/>
          <w:sz w:val="20"/>
        </w:rPr>
        <w:t>PRCA</w:t>
      </w:r>
      <w:r w:rsidR="00D10D2E" w:rsidRPr="002129B4">
        <w:rPr>
          <w:rFonts w:ascii="Helvetica" w:hAnsi="Helvetica" w:cs="Arial"/>
          <w:sz w:val="20"/>
        </w:rPr>
        <w:t xml:space="preserve">), </w:t>
      </w:r>
      <w:r w:rsidR="00A54508" w:rsidRPr="002129B4">
        <w:rPr>
          <w:rFonts w:ascii="Helvetica" w:hAnsi="Helvetica" w:cs="Arial"/>
          <w:sz w:val="20"/>
        </w:rPr>
        <w:t xml:space="preserve">faktoriaus </w:t>
      </w:r>
      <w:r w:rsidR="00D10D2E" w:rsidRPr="002129B4">
        <w:rPr>
          <w:rFonts w:ascii="Helvetica" w:hAnsi="Helvetica" w:cs="Arial"/>
          <w:sz w:val="20"/>
        </w:rPr>
        <w:t xml:space="preserve">VIII stoka, </w:t>
      </w:r>
      <w:proofErr w:type="spellStart"/>
      <w:r w:rsidR="00D10D2E" w:rsidRPr="002129B4">
        <w:rPr>
          <w:rFonts w:ascii="Helvetica" w:hAnsi="Helvetica" w:cs="Arial"/>
          <w:sz w:val="20"/>
        </w:rPr>
        <w:t>hemofilija</w:t>
      </w:r>
      <w:proofErr w:type="spellEnd"/>
      <w:r w:rsidR="00A54508" w:rsidRPr="002129B4">
        <w:rPr>
          <w:rFonts w:ascii="Helvetica" w:hAnsi="Helvetica" w:cs="Arial"/>
          <w:sz w:val="20"/>
        </w:rPr>
        <w:t xml:space="preserve"> A</w:t>
      </w:r>
      <w:r w:rsidR="00D10D2E" w:rsidRPr="002129B4">
        <w:rPr>
          <w:rFonts w:ascii="Helvetica" w:hAnsi="Helvetica" w:cs="Arial"/>
          <w:sz w:val="20"/>
        </w:rPr>
        <w:t xml:space="preserve">, autoimuninė </w:t>
      </w:r>
      <w:proofErr w:type="spellStart"/>
      <w:r w:rsidR="00D10D2E" w:rsidRPr="002129B4">
        <w:rPr>
          <w:rFonts w:ascii="Helvetica" w:hAnsi="Helvetica" w:cs="Arial"/>
          <w:sz w:val="20"/>
        </w:rPr>
        <w:t>neutropenija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pancitopenija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leukopenija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ligos, kuriomis sergant vyksta leukocitų </w:t>
      </w:r>
      <w:proofErr w:type="spellStart"/>
      <w:r w:rsidR="00D10D2E" w:rsidRPr="002129B4">
        <w:rPr>
          <w:rFonts w:ascii="Helvetica" w:hAnsi="Helvetica" w:cs="Arial"/>
          <w:sz w:val="20"/>
        </w:rPr>
        <w:t>diapedezė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centrinės nervų sistemos (CNS) uždegiminiai sutrikimai, dauginis organų pažeidimo sindromas, sunkioji </w:t>
      </w:r>
      <w:proofErr w:type="spellStart"/>
      <w:r w:rsidR="00D10D2E" w:rsidRPr="002129B4">
        <w:rPr>
          <w:rFonts w:ascii="Helvetica" w:hAnsi="Helvetica" w:cs="Arial"/>
          <w:sz w:val="20"/>
        </w:rPr>
        <w:t>miastenija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antigenų ir antikūnų komplekso sukeliamos ligos, antikūnų prieš </w:t>
      </w:r>
      <w:proofErr w:type="spellStart"/>
      <w:r w:rsidR="00D10D2E" w:rsidRPr="002129B4">
        <w:rPr>
          <w:rFonts w:ascii="Helvetica" w:hAnsi="Helvetica" w:cs="Arial"/>
          <w:sz w:val="20"/>
        </w:rPr>
        <w:t>glomerulų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bazinę membraną liga, </w:t>
      </w:r>
      <w:proofErr w:type="spellStart"/>
      <w:r w:rsidR="00D10D2E" w:rsidRPr="002129B4">
        <w:rPr>
          <w:rFonts w:ascii="Helvetica" w:hAnsi="Helvetica" w:cs="Arial"/>
          <w:sz w:val="20"/>
        </w:rPr>
        <w:t>antifosfolipidinių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antikūnų sindromas, alerginis neuritas, </w:t>
      </w:r>
      <w:proofErr w:type="spellStart"/>
      <w:r w:rsidR="00D10D2E" w:rsidRPr="002129B4">
        <w:rPr>
          <w:rFonts w:ascii="Helvetica" w:hAnsi="Helvetica" w:cs="Arial"/>
          <w:sz w:val="20"/>
        </w:rPr>
        <w:t>Bechčeto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liga, </w:t>
      </w:r>
      <w:proofErr w:type="spellStart"/>
      <w:r w:rsidR="00D10D2E" w:rsidRPr="002129B4">
        <w:rPr>
          <w:rFonts w:ascii="Helvetica" w:hAnsi="Helvetica" w:cs="Arial"/>
          <w:sz w:val="20"/>
        </w:rPr>
        <w:t>Kastlemano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sindromas, </w:t>
      </w:r>
      <w:proofErr w:type="spellStart"/>
      <w:r w:rsidR="00D10D2E" w:rsidRPr="002129B4">
        <w:rPr>
          <w:rFonts w:ascii="Helvetica" w:hAnsi="Helvetica" w:cs="Arial"/>
          <w:sz w:val="20"/>
        </w:rPr>
        <w:t>Gudpasčerio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sindromas, </w:t>
      </w:r>
      <w:proofErr w:type="spellStart"/>
      <w:r w:rsidR="00D10D2E" w:rsidRPr="002129B4">
        <w:rPr>
          <w:rFonts w:ascii="Helvetica" w:hAnsi="Helvetica" w:cs="Arial"/>
          <w:sz w:val="20"/>
        </w:rPr>
        <w:t>Lamberto-Itono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miasteninis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sindromas, Reino sindromas, </w:t>
      </w:r>
      <w:proofErr w:type="spellStart"/>
      <w:r w:rsidR="00D10D2E" w:rsidRPr="002129B4">
        <w:rPr>
          <w:rFonts w:ascii="Helvetica" w:hAnsi="Helvetica" w:cs="Arial"/>
          <w:sz w:val="20"/>
        </w:rPr>
        <w:t>Sjogreno</w:t>
      </w:r>
      <w:proofErr w:type="spellEnd"/>
      <w:r w:rsidR="00A54508" w:rsidRPr="002129B4">
        <w:rPr>
          <w:rFonts w:ascii="Helvetica" w:hAnsi="Helvetica" w:cs="Arial"/>
          <w:sz w:val="20"/>
        </w:rPr>
        <w:t xml:space="preserve"> </w:t>
      </w:r>
      <w:r w:rsidR="00D10D2E" w:rsidRPr="002129B4">
        <w:rPr>
          <w:rFonts w:ascii="Helvetica" w:hAnsi="Helvetica" w:cs="Arial"/>
          <w:sz w:val="20"/>
        </w:rPr>
        <w:t xml:space="preserve">sindromas, </w:t>
      </w:r>
      <w:proofErr w:type="spellStart"/>
      <w:r w:rsidR="00D10D2E" w:rsidRPr="002129B4">
        <w:rPr>
          <w:rFonts w:ascii="Helvetica" w:hAnsi="Helvetica" w:cs="Arial"/>
          <w:sz w:val="20"/>
        </w:rPr>
        <w:t>Stivenso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-Džonsono sindromas, </w:t>
      </w:r>
      <w:proofErr w:type="spellStart"/>
      <w:r w:rsidR="00D10D2E" w:rsidRPr="002129B4">
        <w:rPr>
          <w:rFonts w:ascii="Helvetica" w:hAnsi="Helvetica" w:cs="Arial"/>
          <w:sz w:val="20"/>
        </w:rPr>
        <w:t>pūslinis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pemfigoidas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pūslinė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autoimuninės </w:t>
      </w:r>
      <w:proofErr w:type="spellStart"/>
      <w:r w:rsidR="00D10D2E" w:rsidRPr="002129B4">
        <w:rPr>
          <w:rFonts w:ascii="Helvetica" w:hAnsi="Helvetica" w:cs="Arial"/>
          <w:sz w:val="20"/>
        </w:rPr>
        <w:t>poliendokrinopatijos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nefropatija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IgM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polineuropatijos arba neuropatija, kuriai tarpininkauja </w:t>
      </w:r>
      <w:proofErr w:type="spellStart"/>
      <w:r w:rsidR="00D10D2E" w:rsidRPr="002129B4">
        <w:rPr>
          <w:rFonts w:ascii="Helvetica" w:hAnsi="Helvetica" w:cs="Arial"/>
          <w:sz w:val="20"/>
        </w:rPr>
        <w:t>IgM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idiopatinė </w:t>
      </w:r>
      <w:proofErr w:type="spellStart"/>
      <w:r w:rsidR="00D10D2E" w:rsidRPr="002129B4">
        <w:rPr>
          <w:rFonts w:ascii="Helvetica" w:hAnsi="Helvetica" w:cs="Arial"/>
          <w:sz w:val="20"/>
        </w:rPr>
        <w:t>trombocitopeninė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purpura (ITP), trombinė </w:t>
      </w:r>
      <w:proofErr w:type="spellStart"/>
      <w:r w:rsidR="00D10D2E" w:rsidRPr="002129B4">
        <w:rPr>
          <w:rFonts w:ascii="Helvetica" w:hAnsi="Helvetica" w:cs="Arial"/>
          <w:sz w:val="20"/>
        </w:rPr>
        <w:t>trombocitopeninė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purpura (TTP), autoimuninė </w:t>
      </w:r>
      <w:proofErr w:type="spellStart"/>
      <w:r w:rsidR="00D10D2E" w:rsidRPr="002129B4">
        <w:rPr>
          <w:rFonts w:ascii="Helvetica" w:hAnsi="Helvetica" w:cs="Arial"/>
          <w:sz w:val="20"/>
        </w:rPr>
        <w:t>trombocitopenija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autoimuninė sėklidžių ir kiaušidžių liga, įskaitant autoimuninį </w:t>
      </w:r>
      <w:proofErr w:type="spellStart"/>
      <w:r w:rsidR="00D10D2E" w:rsidRPr="002129B4">
        <w:rPr>
          <w:rFonts w:ascii="Helvetica" w:hAnsi="Helvetica" w:cs="Arial"/>
          <w:sz w:val="20"/>
        </w:rPr>
        <w:t>orchitą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ir </w:t>
      </w:r>
      <w:proofErr w:type="spellStart"/>
      <w:r w:rsidR="00D10D2E" w:rsidRPr="002129B4">
        <w:rPr>
          <w:rFonts w:ascii="Helvetica" w:hAnsi="Helvetica" w:cs="Arial"/>
          <w:sz w:val="20"/>
        </w:rPr>
        <w:t>ooforitą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pirminė </w:t>
      </w:r>
      <w:proofErr w:type="spellStart"/>
      <w:r w:rsidR="00D10D2E" w:rsidRPr="002129B4">
        <w:rPr>
          <w:rFonts w:ascii="Helvetica" w:hAnsi="Helvetica" w:cs="Arial"/>
          <w:sz w:val="20"/>
        </w:rPr>
        <w:t>hipotirozė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; autoimuninės endokrininės ligos, įskaitant autoimuninį </w:t>
      </w:r>
      <w:proofErr w:type="spellStart"/>
      <w:r w:rsidR="00D10D2E" w:rsidRPr="002129B4">
        <w:rPr>
          <w:rFonts w:ascii="Helvetica" w:hAnsi="Helvetica" w:cs="Arial"/>
          <w:sz w:val="20"/>
        </w:rPr>
        <w:t>tiroiditą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lėtinį </w:t>
      </w:r>
      <w:proofErr w:type="spellStart"/>
      <w:r w:rsidR="00D10D2E" w:rsidRPr="002129B4">
        <w:rPr>
          <w:rFonts w:ascii="Helvetica" w:hAnsi="Helvetica" w:cs="Arial"/>
          <w:sz w:val="20"/>
        </w:rPr>
        <w:t>tiroiditą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(</w:t>
      </w:r>
      <w:proofErr w:type="spellStart"/>
      <w:r w:rsidR="00D10D2E" w:rsidRPr="002129B4">
        <w:rPr>
          <w:rFonts w:ascii="Helvetica" w:hAnsi="Helvetica" w:cs="Arial"/>
          <w:sz w:val="20"/>
        </w:rPr>
        <w:t>Hašimoto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tiroiditą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), </w:t>
      </w:r>
      <w:proofErr w:type="spellStart"/>
      <w:r w:rsidR="00D10D2E" w:rsidRPr="002129B4">
        <w:rPr>
          <w:rFonts w:ascii="Helvetica" w:hAnsi="Helvetica" w:cs="Arial"/>
          <w:sz w:val="20"/>
        </w:rPr>
        <w:t>poūmį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tiroiditą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idiopatinę </w:t>
      </w:r>
      <w:proofErr w:type="spellStart"/>
      <w:r w:rsidR="00D10D2E" w:rsidRPr="002129B4">
        <w:rPr>
          <w:rFonts w:ascii="Helvetica" w:hAnsi="Helvetica" w:cs="Arial"/>
          <w:sz w:val="20"/>
        </w:rPr>
        <w:t>hipotirozę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Adisono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r w:rsidR="00D10D2E" w:rsidRPr="002129B4">
        <w:rPr>
          <w:rFonts w:ascii="Helvetica" w:hAnsi="Helvetica" w:cs="Arial"/>
          <w:sz w:val="20"/>
        </w:rPr>
        <w:lastRenderedPageBreak/>
        <w:t xml:space="preserve">ligą, </w:t>
      </w:r>
      <w:proofErr w:type="spellStart"/>
      <w:r w:rsidR="00D10D2E" w:rsidRPr="002129B4">
        <w:rPr>
          <w:rFonts w:ascii="Helvetica" w:hAnsi="Helvetica" w:cs="Arial"/>
          <w:sz w:val="20"/>
        </w:rPr>
        <w:t>Greivso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ligą, autoimuninius </w:t>
      </w:r>
      <w:proofErr w:type="spellStart"/>
      <w:r w:rsidR="00D10D2E" w:rsidRPr="002129B4">
        <w:rPr>
          <w:rFonts w:ascii="Helvetica" w:hAnsi="Helvetica" w:cs="Arial"/>
          <w:sz w:val="20"/>
        </w:rPr>
        <w:t>poliglandulinius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sindromus (arba I tipo </w:t>
      </w:r>
      <w:proofErr w:type="spellStart"/>
      <w:r w:rsidR="00D10D2E" w:rsidRPr="002129B4">
        <w:rPr>
          <w:rFonts w:ascii="Helvetica" w:hAnsi="Helvetica" w:cs="Arial"/>
          <w:sz w:val="20"/>
        </w:rPr>
        <w:t>poliglandulinius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endokrinopatinius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sindromus), I tipo diabetą, dar vadinamą nuo insulino priklausomu cukriniu diabetu (NIPCD) ir </w:t>
      </w:r>
      <w:proofErr w:type="spellStart"/>
      <w:r w:rsidR="00D10D2E" w:rsidRPr="002129B4">
        <w:rPr>
          <w:rFonts w:ascii="Helvetica" w:hAnsi="Helvetica" w:cs="Arial"/>
          <w:sz w:val="20"/>
        </w:rPr>
        <w:t>Šyhano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sindromą; autoimuninis hepatitas, </w:t>
      </w:r>
      <w:proofErr w:type="spellStart"/>
      <w:r w:rsidR="00D10D2E" w:rsidRPr="002129B4">
        <w:rPr>
          <w:rFonts w:ascii="Helvetica" w:hAnsi="Helvetica" w:cs="Arial"/>
          <w:sz w:val="20"/>
        </w:rPr>
        <w:t>limfoidinis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intersticinis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pneumonitas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(LIP), </w:t>
      </w:r>
      <w:proofErr w:type="spellStart"/>
      <w:r w:rsidR="00D10D2E" w:rsidRPr="002129B4">
        <w:rPr>
          <w:rFonts w:ascii="Helvetica" w:hAnsi="Helvetica" w:cs="Arial"/>
          <w:sz w:val="20"/>
        </w:rPr>
        <w:t>obliteruojantis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bronchiolitas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(ne dėl persodinimo) prieš nespecifinę </w:t>
      </w:r>
      <w:proofErr w:type="spellStart"/>
      <w:r w:rsidR="00D10D2E" w:rsidRPr="002129B4">
        <w:rPr>
          <w:rFonts w:ascii="Helvetica" w:hAnsi="Helvetica" w:cs="Arial"/>
          <w:sz w:val="20"/>
        </w:rPr>
        <w:t>intersticinę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pneumoniją, </w:t>
      </w:r>
      <w:proofErr w:type="spellStart"/>
      <w:r w:rsidR="00D10D2E" w:rsidRPr="002129B4">
        <w:rPr>
          <w:rFonts w:ascii="Helvetica" w:hAnsi="Helvetica" w:cs="Arial"/>
          <w:sz w:val="20"/>
        </w:rPr>
        <w:t>Gijeno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-Bare sindromas, stambiųjų kraujagyslių </w:t>
      </w:r>
      <w:proofErr w:type="spellStart"/>
      <w:r w:rsidR="00D10D2E" w:rsidRPr="002129B4">
        <w:rPr>
          <w:rFonts w:ascii="Helvetica" w:hAnsi="Helvetica" w:cs="Arial"/>
          <w:sz w:val="20"/>
        </w:rPr>
        <w:t>vaskulitas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(įskaitant reumatinę </w:t>
      </w:r>
      <w:proofErr w:type="spellStart"/>
      <w:r w:rsidR="00D10D2E" w:rsidRPr="002129B4">
        <w:rPr>
          <w:rFonts w:ascii="Helvetica" w:hAnsi="Helvetica" w:cs="Arial"/>
          <w:sz w:val="20"/>
        </w:rPr>
        <w:t>polimialgiją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ir </w:t>
      </w:r>
      <w:proofErr w:type="spellStart"/>
      <w:r w:rsidR="00D10D2E" w:rsidRPr="002129B4">
        <w:rPr>
          <w:rFonts w:ascii="Helvetica" w:hAnsi="Helvetica" w:cs="Arial"/>
          <w:sz w:val="20"/>
        </w:rPr>
        <w:t>gigantinių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ląstelių (</w:t>
      </w:r>
      <w:proofErr w:type="spellStart"/>
      <w:r w:rsidR="00D10D2E" w:rsidRPr="002129B4">
        <w:rPr>
          <w:rFonts w:ascii="Helvetica" w:hAnsi="Helvetica" w:cs="Arial"/>
          <w:sz w:val="20"/>
        </w:rPr>
        <w:t>Takajasu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arteritą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), vidutinių kraujagyslių </w:t>
      </w:r>
      <w:proofErr w:type="spellStart"/>
      <w:r w:rsidR="00D10D2E" w:rsidRPr="002129B4">
        <w:rPr>
          <w:rFonts w:ascii="Helvetica" w:hAnsi="Helvetica" w:cs="Arial"/>
          <w:sz w:val="20"/>
        </w:rPr>
        <w:t>vaskulitas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(įskaitant </w:t>
      </w:r>
      <w:proofErr w:type="spellStart"/>
      <w:r w:rsidR="00D10D2E" w:rsidRPr="002129B4">
        <w:rPr>
          <w:rFonts w:ascii="Helvetica" w:hAnsi="Helvetica" w:cs="Arial"/>
          <w:sz w:val="20"/>
        </w:rPr>
        <w:t>Kavasaki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ligą ir mazginį </w:t>
      </w:r>
      <w:proofErr w:type="spellStart"/>
      <w:r w:rsidR="00D10D2E" w:rsidRPr="002129B4">
        <w:rPr>
          <w:rFonts w:ascii="Helvetica" w:hAnsi="Helvetica" w:cs="Arial"/>
          <w:sz w:val="20"/>
        </w:rPr>
        <w:t>poliarteritą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), </w:t>
      </w:r>
      <w:proofErr w:type="spellStart"/>
      <w:r w:rsidR="00D10D2E" w:rsidRPr="002129B4">
        <w:rPr>
          <w:rFonts w:ascii="Helvetica" w:hAnsi="Helvetica" w:cs="Arial"/>
          <w:sz w:val="20"/>
        </w:rPr>
        <w:t>ankilozinis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spondilitas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Bergerio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liga (</w:t>
      </w:r>
      <w:proofErr w:type="spellStart"/>
      <w:r w:rsidR="00D10D2E" w:rsidRPr="002129B4">
        <w:rPr>
          <w:rFonts w:ascii="Helvetica" w:hAnsi="Helvetica" w:cs="Arial"/>
          <w:sz w:val="20"/>
        </w:rPr>
        <w:t>IgA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nefropatija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), greitai progresuojantis </w:t>
      </w:r>
      <w:proofErr w:type="spellStart"/>
      <w:r w:rsidR="00D10D2E" w:rsidRPr="002129B4">
        <w:rPr>
          <w:rFonts w:ascii="Helvetica" w:hAnsi="Helvetica" w:cs="Arial"/>
          <w:sz w:val="20"/>
        </w:rPr>
        <w:t>glomerulonefritas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pirminė </w:t>
      </w:r>
      <w:proofErr w:type="spellStart"/>
      <w:r w:rsidR="00D10D2E" w:rsidRPr="002129B4">
        <w:rPr>
          <w:rFonts w:ascii="Helvetica" w:hAnsi="Helvetica" w:cs="Arial"/>
          <w:sz w:val="20"/>
        </w:rPr>
        <w:t>bilijinė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kepenų cirozė, </w:t>
      </w:r>
      <w:proofErr w:type="spellStart"/>
      <w:r w:rsidR="00D10D2E" w:rsidRPr="002129B4">
        <w:rPr>
          <w:rFonts w:ascii="Helvetica" w:hAnsi="Helvetica" w:cs="Arial"/>
          <w:sz w:val="20"/>
        </w:rPr>
        <w:t>celiakinė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liga (</w:t>
      </w:r>
      <w:proofErr w:type="spellStart"/>
      <w:r w:rsidR="00D10D2E" w:rsidRPr="002129B4">
        <w:rPr>
          <w:rFonts w:ascii="Helvetica" w:hAnsi="Helvetica" w:cs="Arial"/>
          <w:sz w:val="20"/>
        </w:rPr>
        <w:t>gliuteninė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enteropatija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), </w:t>
      </w:r>
      <w:proofErr w:type="spellStart"/>
      <w:r w:rsidR="00D10D2E" w:rsidRPr="002129B4">
        <w:rPr>
          <w:rFonts w:ascii="Helvetica" w:hAnsi="Helvetica" w:cs="Arial"/>
          <w:sz w:val="20"/>
        </w:rPr>
        <w:t>krioglobulinemija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šoninė </w:t>
      </w:r>
      <w:proofErr w:type="spellStart"/>
      <w:r w:rsidR="00D10D2E" w:rsidRPr="002129B4">
        <w:rPr>
          <w:rFonts w:ascii="Helvetica" w:hAnsi="Helvetica" w:cs="Arial"/>
          <w:sz w:val="20"/>
        </w:rPr>
        <w:t>amiotrofinė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sklerozė (ŠAS) ir vainikinių arterijų liga.</w:t>
      </w:r>
    </w:p>
    <w:p w14:paraId="2B16770F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70E08324" w14:textId="50E50AF9" w:rsidR="002D57F6" w:rsidRPr="002129B4" w:rsidRDefault="00537575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14. </w:t>
      </w:r>
      <w:r w:rsidR="00D10D2E" w:rsidRPr="002129B4">
        <w:rPr>
          <w:rFonts w:ascii="Helvetica" w:hAnsi="Helvetica" w:cs="Arial"/>
          <w:sz w:val="20"/>
        </w:rPr>
        <w:t xml:space="preserve">Kompozicijos naudojimas pagal bet kurį iš 11–13 punktų, kur kompozicija skiriama </w:t>
      </w:r>
      <w:r w:rsidR="00535700" w:rsidRPr="002129B4">
        <w:rPr>
          <w:rFonts w:ascii="Helvetica" w:hAnsi="Helvetica" w:cs="Arial"/>
          <w:sz w:val="20"/>
        </w:rPr>
        <w:t>kartu arba nuosekliai su chemoterapija</w:t>
      </w:r>
      <w:r w:rsidR="00D10D2E" w:rsidRPr="002129B4">
        <w:rPr>
          <w:rFonts w:ascii="Helvetica" w:hAnsi="Helvetica" w:cs="Arial"/>
          <w:sz w:val="20"/>
        </w:rPr>
        <w:t>.</w:t>
      </w:r>
    </w:p>
    <w:p w14:paraId="5ED4430E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49C507B3" w14:textId="6235B337" w:rsidR="002D57F6" w:rsidRPr="002129B4" w:rsidRDefault="00537575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15. </w:t>
      </w:r>
      <w:r w:rsidR="00D10D2E" w:rsidRPr="002129B4">
        <w:rPr>
          <w:rFonts w:ascii="Helvetica" w:hAnsi="Helvetica" w:cs="Arial"/>
          <w:sz w:val="20"/>
        </w:rPr>
        <w:t xml:space="preserve">Kompozicijos naudojimas pagal 14 punktą, kur kompozicija skiriama </w:t>
      </w:r>
      <w:r w:rsidR="00535700" w:rsidRPr="002129B4">
        <w:rPr>
          <w:rFonts w:ascii="Helvetica" w:hAnsi="Helvetica" w:cs="Arial"/>
          <w:sz w:val="20"/>
        </w:rPr>
        <w:t>kartu arba nuosekliai su chemoterapija</w:t>
      </w:r>
      <w:r w:rsidR="00D10D2E" w:rsidRPr="002129B4">
        <w:rPr>
          <w:rFonts w:ascii="Helvetica" w:hAnsi="Helvetica" w:cs="Arial"/>
          <w:sz w:val="20"/>
        </w:rPr>
        <w:t>, kur chemoterapija yra parinkta iš grupės, kurią sudaro CHOP chemoterapija (</w:t>
      </w:r>
      <w:proofErr w:type="spellStart"/>
      <w:r w:rsidR="00D10D2E" w:rsidRPr="002129B4">
        <w:rPr>
          <w:rFonts w:ascii="Helvetica" w:hAnsi="Helvetica" w:cs="Arial"/>
          <w:sz w:val="20"/>
        </w:rPr>
        <w:t>ciklofosfamidas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doksorubicinas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vinkristinas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ir prednizolonas), interferonas alfa (CHVP / interferonas alfa), FOLFOX (</w:t>
      </w:r>
      <w:proofErr w:type="spellStart"/>
      <w:r w:rsidR="00D10D2E" w:rsidRPr="002129B4">
        <w:rPr>
          <w:rFonts w:ascii="Helvetica" w:hAnsi="Helvetica" w:cs="Arial"/>
          <w:sz w:val="20"/>
        </w:rPr>
        <w:t>oksaliplatina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(ELOXATIN™) kartu su 5-FU ir </w:t>
      </w:r>
      <w:proofErr w:type="spellStart"/>
      <w:r w:rsidR="00D10D2E" w:rsidRPr="002129B4">
        <w:rPr>
          <w:rFonts w:ascii="Helvetica" w:hAnsi="Helvetica" w:cs="Arial"/>
          <w:sz w:val="20"/>
        </w:rPr>
        <w:t>leukovorinu</w:t>
      </w:r>
      <w:proofErr w:type="spellEnd"/>
      <w:r w:rsidR="00D10D2E" w:rsidRPr="002129B4">
        <w:rPr>
          <w:rFonts w:ascii="Helvetica" w:hAnsi="Helvetica" w:cs="Arial"/>
          <w:sz w:val="20"/>
        </w:rPr>
        <w:t>), CVP (</w:t>
      </w:r>
      <w:proofErr w:type="spellStart"/>
      <w:r w:rsidR="00D10D2E" w:rsidRPr="002129B4">
        <w:rPr>
          <w:rFonts w:ascii="Helvetica" w:hAnsi="Helvetica" w:cs="Arial"/>
          <w:sz w:val="20"/>
        </w:rPr>
        <w:t>ciklofosfamidas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vinkristinas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ir prednizolonas), MCP (</w:t>
      </w:r>
      <w:proofErr w:type="spellStart"/>
      <w:r w:rsidR="00D10D2E" w:rsidRPr="002129B4">
        <w:rPr>
          <w:rFonts w:ascii="Helvetica" w:hAnsi="Helvetica" w:cs="Arial"/>
          <w:sz w:val="20"/>
        </w:rPr>
        <w:t>mitoksantronas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chlorambucilis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ir prednizolonas), FC (</w:t>
      </w:r>
      <w:proofErr w:type="spellStart"/>
      <w:r w:rsidR="00D10D2E" w:rsidRPr="002129B4">
        <w:rPr>
          <w:rFonts w:ascii="Helvetica" w:hAnsi="Helvetica" w:cs="Arial"/>
          <w:sz w:val="20"/>
        </w:rPr>
        <w:t>fludarabinas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ir </w:t>
      </w:r>
      <w:proofErr w:type="spellStart"/>
      <w:r w:rsidR="00D10D2E" w:rsidRPr="002129B4">
        <w:rPr>
          <w:rFonts w:ascii="Helvetica" w:hAnsi="Helvetica" w:cs="Arial"/>
          <w:sz w:val="20"/>
        </w:rPr>
        <w:t>ciklofosfamidas</w:t>
      </w:r>
      <w:proofErr w:type="spellEnd"/>
      <w:r w:rsidR="00D10D2E" w:rsidRPr="002129B4">
        <w:rPr>
          <w:rFonts w:ascii="Helvetica" w:hAnsi="Helvetica" w:cs="Arial"/>
          <w:sz w:val="20"/>
        </w:rPr>
        <w:t>), ICE (</w:t>
      </w:r>
      <w:proofErr w:type="spellStart"/>
      <w:r w:rsidR="00D10D2E" w:rsidRPr="002129B4">
        <w:rPr>
          <w:rFonts w:ascii="Helvetica" w:hAnsi="Helvetica" w:cs="Arial"/>
          <w:sz w:val="20"/>
        </w:rPr>
        <w:t>ifosfamidas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karboplatina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ir </w:t>
      </w:r>
      <w:proofErr w:type="spellStart"/>
      <w:r w:rsidR="00D10D2E" w:rsidRPr="002129B4">
        <w:rPr>
          <w:rFonts w:ascii="Helvetica" w:hAnsi="Helvetica" w:cs="Arial"/>
          <w:sz w:val="20"/>
        </w:rPr>
        <w:t>etopozidas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) ir </w:t>
      </w:r>
      <w:proofErr w:type="spellStart"/>
      <w:r w:rsidR="00D10D2E" w:rsidRPr="002129B4">
        <w:rPr>
          <w:rFonts w:ascii="Helvetica" w:hAnsi="Helvetica" w:cs="Arial"/>
          <w:sz w:val="20"/>
        </w:rPr>
        <w:t>deksametazonas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citarabinas</w:t>
      </w:r>
      <w:proofErr w:type="spellEnd"/>
      <w:r w:rsidR="00535700" w:rsidRPr="002129B4">
        <w:rPr>
          <w:rFonts w:ascii="Helvetica" w:hAnsi="Helvetica" w:cs="Arial"/>
          <w:sz w:val="20"/>
        </w:rPr>
        <w:t>,</w:t>
      </w:r>
      <w:r w:rsidR="00D10D2E" w:rsidRPr="002129B4">
        <w:rPr>
          <w:rFonts w:ascii="Helvetica" w:hAnsi="Helvetica" w:cs="Arial"/>
          <w:sz w:val="20"/>
        </w:rPr>
        <w:t xml:space="preserve"> ir </w:t>
      </w:r>
      <w:proofErr w:type="spellStart"/>
      <w:r w:rsidR="00D10D2E" w:rsidRPr="002129B4">
        <w:rPr>
          <w:rFonts w:ascii="Helvetica" w:hAnsi="Helvetica" w:cs="Arial"/>
          <w:sz w:val="20"/>
        </w:rPr>
        <w:t>cisplatina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(DHAP), </w:t>
      </w:r>
      <w:proofErr w:type="spellStart"/>
      <w:r w:rsidR="00D10D2E" w:rsidRPr="002129B4">
        <w:rPr>
          <w:rFonts w:ascii="Helvetica" w:hAnsi="Helvetica" w:cs="Arial"/>
          <w:sz w:val="20"/>
        </w:rPr>
        <w:t>deksametazonas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, </w:t>
      </w:r>
      <w:proofErr w:type="spellStart"/>
      <w:r w:rsidR="00D10D2E" w:rsidRPr="002129B4">
        <w:rPr>
          <w:rFonts w:ascii="Helvetica" w:hAnsi="Helvetica" w:cs="Arial"/>
          <w:sz w:val="20"/>
        </w:rPr>
        <w:t>liposominis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</w:t>
      </w:r>
      <w:proofErr w:type="spellStart"/>
      <w:r w:rsidR="00D10D2E" w:rsidRPr="002129B4">
        <w:rPr>
          <w:rFonts w:ascii="Helvetica" w:hAnsi="Helvetica" w:cs="Arial"/>
          <w:sz w:val="20"/>
        </w:rPr>
        <w:t>doksorubicinas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ir </w:t>
      </w:r>
      <w:proofErr w:type="spellStart"/>
      <w:r w:rsidR="00D10D2E" w:rsidRPr="002129B4">
        <w:rPr>
          <w:rFonts w:ascii="Helvetica" w:hAnsi="Helvetica" w:cs="Arial"/>
          <w:sz w:val="20"/>
        </w:rPr>
        <w:t>vinkristinas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(DVD).</w:t>
      </w:r>
    </w:p>
    <w:p w14:paraId="52922DC3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76509914" w14:textId="0C68DF3A" w:rsidR="002D57F6" w:rsidRPr="002129B4" w:rsidRDefault="00537575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16. </w:t>
      </w:r>
      <w:r w:rsidR="00D10D2E" w:rsidRPr="002129B4">
        <w:rPr>
          <w:rFonts w:ascii="Helvetica" w:hAnsi="Helvetica" w:cs="Arial"/>
          <w:sz w:val="20"/>
        </w:rPr>
        <w:t xml:space="preserve">Kompozicijos naudojimas pagal bet kurį iš 11–15 punktų, kur minėtas vaistas apima fiksuotą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dozę nuo 1 200 iki maždaug 2 200 mg, kur punkte vartojamas terminas „maždaug“ reiškia +/–10 % nurodytos vertės.</w:t>
      </w:r>
    </w:p>
    <w:p w14:paraId="0E94DBCC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59C3F6D8" w14:textId="64CF3F92" w:rsidR="002D57F6" w:rsidRPr="002129B4" w:rsidRDefault="00537575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17. </w:t>
      </w:r>
      <w:r w:rsidR="00D10D2E" w:rsidRPr="002129B4">
        <w:rPr>
          <w:rFonts w:ascii="Helvetica" w:hAnsi="Helvetica" w:cs="Arial"/>
          <w:sz w:val="20"/>
        </w:rPr>
        <w:t xml:space="preserve">Kompozicijos naudojimas pagal 16 punktą, kur minėtas vaistas apima fiksuotą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dozę nuo maždaug 1 200 mg iki maždaug 1 800 mg.</w:t>
      </w:r>
    </w:p>
    <w:p w14:paraId="21DC64DC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642A7108" w14:textId="13E60423" w:rsidR="002D57F6" w:rsidRPr="002129B4" w:rsidRDefault="00537575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18. </w:t>
      </w:r>
      <w:r w:rsidR="00D10D2E" w:rsidRPr="002129B4">
        <w:rPr>
          <w:rFonts w:ascii="Helvetica" w:hAnsi="Helvetica" w:cs="Arial"/>
          <w:sz w:val="20"/>
        </w:rPr>
        <w:t xml:space="preserve">Kompozicijos naudojimas pagal bet kurį iš 11–15 punktų, kur minėtas vaistas apima fiksuotą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 xml:space="preserve"> dozę nuo 1 600 iki maždaug 2 200 mg, kur punkte vartojamas terminas „maždaug“ reiškia +/–10 % nurodytos vertės.</w:t>
      </w:r>
    </w:p>
    <w:p w14:paraId="2AFC31D5" w14:textId="77777777" w:rsidR="002129B4" w:rsidRPr="002129B4" w:rsidRDefault="002129B4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</w:p>
    <w:p w14:paraId="69D2D306" w14:textId="4AEB3011" w:rsidR="00937A3D" w:rsidRPr="002129B4" w:rsidRDefault="00537575" w:rsidP="002129B4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sz w:val="20"/>
        </w:rPr>
      </w:pPr>
      <w:r w:rsidRPr="002129B4">
        <w:rPr>
          <w:rFonts w:ascii="Helvetica" w:hAnsi="Helvetica" w:cs="Arial"/>
          <w:sz w:val="20"/>
        </w:rPr>
        <w:t xml:space="preserve">19. </w:t>
      </w:r>
      <w:r w:rsidR="00D10D2E" w:rsidRPr="002129B4">
        <w:rPr>
          <w:rFonts w:ascii="Helvetica" w:hAnsi="Helvetica" w:cs="Arial"/>
          <w:sz w:val="20"/>
        </w:rPr>
        <w:t xml:space="preserve">Kompozicijos naudojimas pagal 16 punktą, kur minėtas vaistas apima fiksuotą dozę, parinktą iš grupės, kurią sudaro maždaug 1 500 mg, maždaug 1 600 mg, maždaug 1 700 mg, maždaug 1 800 mg, maždaug 1 870 mg, maždaug 1 900 mg ir maždaug 2 100 mg </w:t>
      </w:r>
      <w:proofErr w:type="spellStart"/>
      <w:r w:rsidR="00D10D2E" w:rsidRPr="002129B4">
        <w:rPr>
          <w:rFonts w:ascii="Helvetica" w:hAnsi="Helvetica" w:cs="Arial"/>
          <w:sz w:val="20"/>
        </w:rPr>
        <w:t>rituksimabo</w:t>
      </w:r>
      <w:proofErr w:type="spellEnd"/>
      <w:r w:rsidR="00D10D2E" w:rsidRPr="002129B4">
        <w:rPr>
          <w:rFonts w:ascii="Helvetica" w:hAnsi="Helvetica" w:cs="Arial"/>
          <w:sz w:val="20"/>
        </w:rPr>
        <w:t>.</w:t>
      </w:r>
    </w:p>
    <w:sectPr w:rsidR="00937A3D" w:rsidRPr="002129B4" w:rsidSect="002129B4">
      <w:pgSz w:w="11909" w:h="16840" w:code="1"/>
      <w:pgMar w:top="1134" w:right="567" w:bottom="567" w:left="1701" w:header="567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70CB" w14:textId="77777777" w:rsidR="00035F20" w:rsidRDefault="00035F20">
      <w:r>
        <w:separator/>
      </w:r>
    </w:p>
  </w:endnote>
  <w:endnote w:type="continuationSeparator" w:id="0">
    <w:p w14:paraId="1660E55E" w14:textId="77777777" w:rsidR="00035F20" w:rsidRDefault="0003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E4A0" w14:textId="77777777" w:rsidR="00035F20" w:rsidRDefault="00035F20">
      <w:r>
        <w:separator/>
      </w:r>
    </w:p>
  </w:footnote>
  <w:footnote w:type="continuationSeparator" w:id="0">
    <w:p w14:paraId="12CD9A37" w14:textId="77777777" w:rsidR="00035F20" w:rsidRDefault="00035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1075D"/>
    <w:multiLevelType w:val="hybridMultilevel"/>
    <w:tmpl w:val="4CA01264"/>
    <w:lvl w:ilvl="0" w:tplc="9894CD92">
      <w:start w:val="1"/>
      <w:numFmt w:val="decimal"/>
      <w:lvlText w:val="%1."/>
      <w:lvlJc w:val="left"/>
      <w:pPr>
        <w:tabs>
          <w:tab w:val="num" w:pos="916"/>
        </w:tabs>
        <w:ind w:left="1796" w:hanging="94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0E16"/>
    <w:multiLevelType w:val="hybridMultilevel"/>
    <w:tmpl w:val="B672B716"/>
    <w:lvl w:ilvl="0" w:tplc="443ACBC0">
      <w:start w:val="1"/>
      <w:numFmt w:val="lowerLetter"/>
      <w:lvlText w:val="%1."/>
      <w:lvlJc w:val="left"/>
      <w:pPr>
        <w:tabs>
          <w:tab w:val="num" w:pos="425"/>
        </w:tabs>
        <w:ind w:left="2010" w:hanging="165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10876">
    <w:abstractNumId w:val="0"/>
  </w:num>
  <w:num w:numId="2" w16cid:durableId="195463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DA"/>
    <w:rsid w:val="00035F20"/>
    <w:rsid w:val="00067749"/>
    <w:rsid w:val="001E3895"/>
    <w:rsid w:val="002129B4"/>
    <w:rsid w:val="00221AA2"/>
    <w:rsid w:val="002D57F6"/>
    <w:rsid w:val="0032421C"/>
    <w:rsid w:val="003E18C1"/>
    <w:rsid w:val="00406240"/>
    <w:rsid w:val="00512C4A"/>
    <w:rsid w:val="00535700"/>
    <w:rsid w:val="00537575"/>
    <w:rsid w:val="005A4195"/>
    <w:rsid w:val="00625A90"/>
    <w:rsid w:val="00711527"/>
    <w:rsid w:val="0083442C"/>
    <w:rsid w:val="00937A3D"/>
    <w:rsid w:val="00A54508"/>
    <w:rsid w:val="00AB0678"/>
    <w:rsid w:val="00B54288"/>
    <w:rsid w:val="00CD6DDA"/>
    <w:rsid w:val="00D10D2E"/>
    <w:rsid w:val="00D50593"/>
    <w:rsid w:val="00D66484"/>
    <w:rsid w:val="00F01C20"/>
    <w:rsid w:val="00F525DA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38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10D2E"/>
    <w:pPr>
      <w:widowControl w:val="0"/>
      <w:spacing w:after="0" w:line="240" w:lineRule="auto"/>
      <w:jc w:val="both"/>
    </w:pPr>
    <w:rPr>
      <w:rFonts w:ascii="Arial" w:eastAsia="Arial Unicode MS" w:hAnsi="Arial" w:cs="Arial Unicode MS"/>
      <w:color w:val="000000"/>
      <w:kern w:val="0"/>
      <w:sz w:val="18"/>
      <w:szCs w:val="24"/>
      <w:lang w:bidi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10D2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0D2E"/>
    <w:rPr>
      <w:rFonts w:ascii="Arial" w:eastAsia="Arial Unicode MS" w:hAnsi="Arial" w:cs="Arial Unicode MS"/>
      <w:color w:val="000000"/>
      <w:kern w:val="0"/>
      <w:sz w:val="18"/>
      <w:szCs w:val="24"/>
      <w:lang w:bidi="en-US"/>
      <w14:ligatures w14:val="none"/>
    </w:rPr>
  </w:style>
  <w:style w:type="paragraph" w:styleId="Sraopastraipa">
    <w:name w:val="List Paragraph"/>
    <w:basedOn w:val="prastasis"/>
    <w:uiPriority w:val="34"/>
    <w:qFormat/>
    <w:rsid w:val="00D10D2E"/>
    <w:pPr>
      <w:ind w:left="720"/>
      <w:contextualSpacing/>
    </w:pPr>
  </w:style>
  <w:style w:type="character" w:styleId="Eilutsnumeris">
    <w:name w:val="line number"/>
    <w:basedOn w:val="Numatytasispastraiposriftas"/>
    <w:uiPriority w:val="99"/>
    <w:semiHidden/>
    <w:unhideWhenUsed/>
    <w:rsid w:val="00D10D2E"/>
  </w:style>
  <w:style w:type="paragraph" w:styleId="Antrats">
    <w:name w:val="header"/>
    <w:basedOn w:val="prastasis"/>
    <w:link w:val="AntratsDiagrama"/>
    <w:uiPriority w:val="99"/>
    <w:unhideWhenUsed/>
    <w:rsid w:val="002D57F6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7F6"/>
    <w:rPr>
      <w:rFonts w:ascii="Arial" w:eastAsia="Arial Unicode MS" w:hAnsi="Arial" w:cs="Arial Unicode MS"/>
      <w:color w:val="000000"/>
      <w:kern w:val="0"/>
      <w:sz w:val="18"/>
      <w:szCs w:val="24"/>
      <w:lang w:bidi="en-US"/>
      <w14:ligatures w14:val="none"/>
    </w:rPr>
  </w:style>
  <w:style w:type="paragraph" w:styleId="Pataisymai">
    <w:name w:val="Revision"/>
    <w:hidden/>
    <w:uiPriority w:val="99"/>
    <w:semiHidden/>
    <w:rsid w:val="003E18C1"/>
    <w:pPr>
      <w:spacing w:after="0" w:line="240" w:lineRule="auto"/>
    </w:pPr>
    <w:rPr>
      <w:rFonts w:ascii="Arial" w:eastAsia="Arial Unicode MS" w:hAnsi="Arial" w:cs="Arial Unicode MS"/>
      <w:color w:val="000000"/>
      <w:kern w:val="0"/>
      <w:sz w:val="18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8110</Characters>
  <Application>Microsoft Office Word</Application>
  <DocSecurity>0</DocSecurity>
  <Lines>124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2023-08-24T09:14:00Z</dcterms:created>
  <dcterms:modified xsi:type="dcterms:W3CDTF">2023-09-07T06:12:00Z</dcterms:modified>
</cp:coreProperties>
</file>