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20B" w14:textId="1E92F4D1" w:rsidR="00657DA8" w:rsidRPr="0097525E" w:rsidRDefault="00647969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 xml:space="preserve">1. </w:t>
      </w:r>
      <w:r w:rsidR="00296F43" w:rsidRPr="0097525E">
        <w:rPr>
          <w:rFonts w:ascii="Helvetica" w:eastAsia="Arial" w:hAnsi="Helvetica" w:cs="Arial"/>
          <w:sz w:val="20"/>
        </w:rPr>
        <w:t>2-((3R,5R,6S)-5-(3-chlorfenil)-6-(4-chlorfenil)-1-((S)-1-(izopropilsulfonil)-3-metilbutan-2-il)-3 -metil-2-oksopiperidin-3-il)</w:t>
      </w:r>
      <w:r w:rsidR="006111BE" w:rsidRPr="0097525E">
        <w:rPr>
          <w:rFonts w:ascii="Helvetica" w:eastAsia="Arial" w:hAnsi="Helvetica" w:cs="Arial"/>
          <w:sz w:val="20"/>
        </w:rPr>
        <w:t xml:space="preserve"> </w:t>
      </w:r>
      <w:r w:rsidR="00296F43" w:rsidRPr="0097525E">
        <w:rPr>
          <w:rFonts w:ascii="Helvetica" w:eastAsia="Arial" w:hAnsi="Helvetica" w:cs="Arial"/>
          <w:sz w:val="20"/>
        </w:rPr>
        <w:t>acto rūgštis, skirta naudoti ūminės mielogeninės leukemijos gydymo būdu</w:t>
      </w:r>
      <w:r w:rsidR="006111BE" w:rsidRPr="0097525E">
        <w:rPr>
          <w:rFonts w:ascii="Helvetica" w:eastAsia="Arial" w:hAnsi="Helvetica" w:cs="Arial"/>
          <w:sz w:val="20"/>
        </w:rPr>
        <w:t>i</w:t>
      </w:r>
      <w:r w:rsidR="00296F43" w:rsidRPr="0097525E">
        <w:rPr>
          <w:rFonts w:ascii="Helvetica" w:eastAsia="Arial" w:hAnsi="Helvetica" w:cs="Arial"/>
          <w:sz w:val="20"/>
        </w:rPr>
        <w:t xml:space="preserve">, minėtas būdas apima veiksmingo </w:t>
      </w:r>
      <w:r w:rsidR="006111BE" w:rsidRPr="0097525E">
        <w:rPr>
          <w:rFonts w:ascii="Helvetica" w:eastAsia="Arial" w:hAnsi="Helvetica" w:cs="Arial"/>
          <w:sz w:val="20"/>
        </w:rPr>
        <w:t>2-((3R,5R,6S)-5-(3-chlorfenil)-6-(4-chlorfenil)-1-((S)-1-(izopropilsulfonil)-3-metilbutan-2-il)-3-metil-2-oksopiperidin-3-il)</w:t>
      </w:r>
      <w:r w:rsidR="009A52A3" w:rsidRPr="0097525E">
        <w:rPr>
          <w:rFonts w:ascii="Helvetica" w:eastAsia="Arial" w:hAnsi="Helvetica" w:cs="Arial"/>
          <w:sz w:val="20"/>
        </w:rPr>
        <w:t xml:space="preserve"> </w:t>
      </w:r>
      <w:r w:rsidR="006111BE" w:rsidRPr="0097525E">
        <w:rPr>
          <w:rFonts w:ascii="Helvetica" w:eastAsia="Arial" w:hAnsi="Helvetica" w:cs="Arial"/>
          <w:sz w:val="20"/>
        </w:rPr>
        <w:t>acto rūgšti</w:t>
      </w:r>
      <w:r w:rsidR="009A52A3" w:rsidRPr="0097525E">
        <w:rPr>
          <w:rFonts w:ascii="Helvetica" w:eastAsia="Arial" w:hAnsi="Helvetica" w:cs="Arial"/>
          <w:sz w:val="20"/>
        </w:rPr>
        <w:t>e</w:t>
      </w:r>
      <w:r w:rsidR="006111BE" w:rsidRPr="0097525E">
        <w:rPr>
          <w:rFonts w:ascii="Helvetica" w:eastAsia="Arial" w:hAnsi="Helvetica" w:cs="Arial"/>
          <w:sz w:val="20"/>
        </w:rPr>
        <w:t>s ir decitabin</w:t>
      </w:r>
      <w:r w:rsidR="009A52A3" w:rsidRPr="0097525E">
        <w:rPr>
          <w:rFonts w:ascii="Helvetica" w:eastAsia="Arial" w:hAnsi="Helvetica" w:cs="Arial"/>
          <w:sz w:val="20"/>
        </w:rPr>
        <w:t>o</w:t>
      </w:r>
      <w:r w:rsidR="006111BE" w:rsidRPr="0097525E">
        <w:rPr>
          <w:rFonts w:ascii="Helvetica" w:eastAsia="Arial" w:hAnsi="Helvetica" w:cs="Arial"/>
          <w:sz w:val="20"/>
        </w:rPr>
        <w:t xml:space="preserve"> </w:t>
      </w:r>
      <w:r w:rsidR="00296F43" w:rsidRPr="0097525E">
        <w:rPr>
          <w:rFonts w:ascii="Helvetica" w:eastAsia="Arial" w:hAnsi="Helvetica" w:cs="Arial"/>
          <w:sz w:val="20"/>
        </w:rPr>
        <w:t>kiekio skyrimą pacientui, kuriam to reikia.</w:t>
      </w:r>
    </w:p>
    <w:p w14:paraId="5C728EB7" w14:textId="70D9C77F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DC755BC" w14:textId="66ED747F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2. 2-((3R,5R,6S)-5-(3-chlorfenil)-6-(4-chlorfenil)-1-((S)-1-(izopropilsulfonil)-3-metilbutan-2-il)-3-metil-2-oksopiperidin-3-il)</w:t>
      </w:r>
      <w:r w:rsidR="000B219B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rūgštis, skirta naudoti ūminės mielogeninės leukemijos gydymo būdu</w:t>
      </w:r>
      <w:r w:rsidR="000B219B" w:rsidRPr="0097525E">
        <w:rPr>
          <w:rFonts w:ascii="Helvetica" w:eastAsia="Arial" w:hAnsi="Helvetica" w:cs="Arial"/>
          <w:sz w:val="20"/>
        </w:rPr>
        <w:t>i</w:t>
      </w:r>
      <w:r w:rsidRPr="0097525E">
        <w:rPr>
          <w:rFonts w:ascii="Helvetica" w:eastAsia="Arial" w:hAnsi="Helvetica" w:cs="Arial"/>
          <w:sz w:val="20"/>
        </w:rPr>
        <w:t>, minėtas būdas apima veiksmingo 2-((3R,5R,6S)</w:t>
      </w:r>
      <w:r w:rsidR="000B219B" w:rsidRPr="0097525E">
        <w:rPr>
          <w:rFonts w:ascii="Helvetica" w:eastAsia="Arial" w:hAnsi="Helvetica" w:cs="Arial"/>
          <w:sz w:val="20"/>
        </w:rPr>
        <w:t>-5-(3-chlorfenil)-6-(4-chlorfenil)-1-((S)-1-(izopropilsulfonil)-3-metilbutan-2-il)-3-metil-2-oksopiperidin-3-il) acto rūgšties ir citarabino</w:t>
      </w:r>
      <w:r w:rsidRPr="0097525E">
        <w:rPr>
          <w:rFonts w:ascii="Helvetica" w:eastAsia="Arial" w:hAnsi="Helvetica" w:cs="Arial"/>
          <w:sz w:val="20"/>
        </w:rPr>
        <w:t xml:space="preserve"> kiekio skyrimą pacientui, kuriam to reikia. </w:t>
      </w:r>
    </w:p>
    <w:p w14:paraId="75D0D016" w14:textId="66CBE0FD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68333A3" w14:textId="0AB3AB49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3. 2-((3R,5R,6S)-5-(3-chlorfenil)-6-(4-chlorfenil)-</w:t>
      </w:r>
      <w:r w:rsidR="00976763" w:rsidRPr="0097525E">
        <w:rPr>
          <w:rFonts w:ascii="Helvetica" w:eastAsia="Arial" w:hAnsi="Helvetica" w:cs="Arial"/>
          <w:sz w:val="20"/>
        </w:rPr>
        <w:t>1</w:t>
      </w:r>
      <w:r w:rsidRPr="0097525E">
        <w:rPr>
          <w:rFonts w:ascii="Helvetica" w:eastAsia="Arial" w:hAnsi="Helvetica" w:cs="Arial"/>
          <w:sz w:val="20"/>
        </w:rPr>
        <w:t>-((S)-</w:t>
      </w:r>
      <w:r w:rsidR="00976763" w:rsidRPr="0097525E">
        <w:rPr>
          <w:rFonts w:ascii="Helvetica" w:eastAsia="Arial" w:hAnsi="Helvetica" w:cs="Arial"/>
          <w:sz w:val="20"/>
        </w:rPr>
        <w:t>1</w:t>
      </w:r>
      <w:r w:rsidRPr="0097525E">
        <w:rPr>
          <w:rFonts w:ascii="Helvetica" w:eastAsia="Arial" w:hAnsi="Helvetica" w:cs="Arial"/>
          <w:sz w:val="20"/>
        </w:rPr>
        <w:t>-(izopropilsulfonil)-3-metilbutan-2-il)-3</w:t>
      </w:r>
      <w:r w:rsidR="00976763" w:rsidRPr="0097525E">
        <w:rPr>
          <w:rFonts w:ascii="Helvetica" w:eastAsia="Arial" w:hAnsi="Helvetica" w:cs="Arial"/>
          <w:sz w:val="20"/>
        </w:rPr>
        <w:t>-</w:t>
      </w:r>
      <w:r w:rsidRPr="0097525E">
        <w:rPr>
          <w:rFonts w:ascii="Helvetica" w:eastAsia="Arial" w:hAnsi="Helvetica" w:cs="Arial"/>
          <w:sz w:val="20"/>
        </w:rPr>
        <w:t>metil-2-oksopiperidin-3-il)</w:t>
      </w:r>
      <w:r w:rsidR="00976763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rūgštis, skirta naudoti ūminės mielogeninės leukemijos gydymo būdui pagal 1 arba 2 punktą, kur ūminė mielogeninė leukemija turi FLT3-ITD mutaciją.</w:t>
      </w:r>
    </w:p>
    <w:p w14:paraId="74A61E36" w14:textId="23E1E9E4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CD69570" w14:textId="0E301FB8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4. Farmacinė kompozicija, apimanti 2-((3R,5R,6S)-5-(3-chlorfenil)-6-(4-chlorfenil)-1-((S)-1-(izopropil-sulfonil)-3-metilbutan-2-il)-3-metil-2-oksopiperidin-3-il)</w:t>
      </w:r>
      <w:r w:rsidR="00976763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</w:t>
      </w:r>
      <w:r w:rsidR="00976763" w:rsidRPr="0097525E">
        <w:rPr>
          <w:rFonts w:ascii="Helvetica" w:eastAsia="Arial" w:hAnsi="Helvetica" w:cs="Arial"/>
          <w:sz w:val="20"/>
        </w:rPr>
        <w:t>į</w:t>
      </w:r>
      <w:r w:rsidRPr="0097525E">
        <w:rPr>
          <w:rFonts w:ascii="Helvetica" w:eastAsia="Arial" w:hAnsi="Helvetica" w:cs="Arial"/>
          <w:sz w:val="20"/>
        </w:rPr>
        <w:t xml:space="preserve"> ir decitabin</w:t>
      </w:r>
      <w:r w:rsidR="00976763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>, skirti naudoti ūminės mielogeninės leukemijos gydymo būdu</w:t>
      </w:r>
      <w:r w:rsidR="00976763" w:rsidRPr="0097525E">
        <w:rPr>
          <w:rFonts w:ascii="Helvetica" w:eastAsia="Arial" w:hAnsi="Helvetica" w:cs="Arial"/>
          <w:sz w:val="20"/>
        </w:rPr>
        <w:t>i</w:t>
      </w:r>
      <w:r w:rsidRPr="0097525E">
        <w:rPr>
          <w:rFonts w:ascii="Helvetica" w:eastAsia="Arial" w:hAnsi="Helvetica" w:cs="Arial"/>
          <w:sz w:val="20"/>
        </w:rPr>
        <w:t>.</w:t>
      </w:r>
    </w:p>
    <w:p w14:paraId="3FAC638E" w14:textId="53740CCF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61C5351" w14:textId="2DB95692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5. Farmacinė kompozicija, apimanti 2-((3R,5R,6S)-5-(3-chlorfenil)-6-(4-chlorfenil)-1-((S)-1-(izopropil-sulfonil)-3-metilbutan-2-il)-3-metil-2-oksopiperidin-3-il)</w:t>
      </w:r>
      <w:r w:rsidR="00976763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</w:t>
      </w:r>
      <w:r w:rsidR="00976763" w:rsidRPr="0097525E">
        <w:rPr>
          <w:rFonts w:ascii="Helvetica" w:eastAsia="Arial" w:hAnsi="Helvetica" w:cs="Arial"/>
          <w:sz w:val="20"/>
        </w:rPr>
        <w:t>į</w:t>
      </w:r>
      <w:r w:rsidRPr="0097525E">
        <w:rPr>
          <w:rFonts w:ascii="Helvetica" w:eastAsia="Arial" w:hAnsi="Helvetica" w:cs="Arial"/>
          <w:sz w:val="20"/>
        </w:rPr>
        <w:t xml:space="preserve"> ir citarabin</w:t>
      </w:r>
      <w:r w:rsidR="00976763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>, skirti naudoti ūminės mielogeninės leukemijos gydymo būdu</w:t>
      </w:r>
      <w:r w:rsidR="00976763" w:rsidRPr="0097525E">
        <w:rPr>
          <w:rFonts w:ascii="Helvetica" w:eastAsia="Arial" w:hAnsi="Helvetica" w:cs="Arial"/>
          <w:sz w:val="20"/>
        </w:rPr>
        <w:t>i</w:t>
      </w:r>
      <w:r w:rsidRPr="0097525E">
        <w:rPr>
          <w:rFonts w:ascii="Helvetica" w:eastAsia="Arial" w:hAnsi="Helvetica" w:cs="Arial"/>
          <w:sz w:val="20"/>
        </w:rPr>
        <w:t>.</w:t>
      </w:r>
    </w:p>
    <w:p w14:paraId="4CF57C6A" w14:textId="00B2B9F7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394E8D5" w14:textId="3A3AF7D4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6. Farmacinių kompozicijų rinkinys, skirtas naudoti ūminės mielogeninės leukemijos gydymo būdu</w:t>
      </w:r>
      <w:r w:rsidR="00976763" w:rsidRPr="0097525E">
        <w:rPr>
          <w:rFonts w:ascii="Helvetica" w:eastAsia="Arial" w:hAnsi="Helvetica" w:cs="Arial"/>
          <w:sz w:val="20"/>
        </w:rPr>
        <w:t>i</w:t>
      </w:r>
      <w:r w:rsidRPr="0097525E">
        <w:rPr>
          <w:rFonts w:ascii="Helvetica" w:eastAsia="Arial" w:hAnsi="Helvetica" w:cs="Arial"/>
          <w:sz w:val="20"/>
        </w:rPr>
        <w:t>, minėtas rinkinys apima atskiras farmacines kompozicijas, vien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 xml:space="preserve"> iš farmacinių kompozicijų, apima</w:t>
      </w:r>
      <w:r w:rsidR="00A9700A" w:rsidRPr="0097525E">
        <w:rPr>
          <w:rFonts w:ascii="Helvetica" w:eastAsia="Arial" w:hAnsi="Helvetica" w:cs="Arial"/>
          <w:sz w:val="20"/>
        </w:rPr>
        <w:t>nčią</w:t>
      </w:r>
      <w:r w:rsidRPr="0097525E">
        <w:rPr>
          <w:rFonts w:ascii="Helvetica" w:eastAsia="Arial" w:hAnsi="Helvetica" w:cs="Arial"/>
          <w:sz w:val="20"/>
        </w:rPr>
        <w:t xml:space="preserve"> 2-((3R,5R,6S)-5-(3-chlorfenil)-6-(4-chlorfenil)-1-((S)-1-(izopropilsulfonil)-3-metilbutan-2-il)-3-metil-2-oksopiperidin-3-il)</w:t>
      </w:r>
      <w:r w:rsidR="00A9700A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</w:t>
      </w:r>
      <w:r w:rsidR="00A9700A" w:rsidRPr="0097525E">
        <w:rPr>
          <w:rFonts w:ascii="Helvetica" w:eastAsia="Arial" w:hAnsi="Helvetica" w:cs="Arial"/>
          <w:sz w:val="20"/>
        </w:rPr>
        <w:t>į</w:t>
      </w:r>
      <w:r w:rsidRPr="0097525E">
        <w:rPr>
          <w:rFonts w:ascii="Helvetica" w:eastAsia="Arial" w:hAnsi="Helvetica" w:cs="Arial"/>
          <w:sz w:val="20"/>
        </w:rPr>
        <w:t xml:space="preserve"> ir kit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 xml:space="preserve"> farmacin</w:t>
      </w:r>
      <w:r w:rsidR="00A9700A" w:rsidRPr="0097525E">
        <w:rPr>
          <w:rFonts w:ascii="Helvetica" w:eastAsia="Arial" w:hAnsi="Helvetica" w:cs="Arial"/>
          <w:sz w:val="20"/>
        </w:rPr>
        <w:t>ę</w:t>
      </w:r>
      <w:r w:rsidRPr="0097525E">
        <w:rPr>
          <w:rFonts w:ascii="Helvetica" w:eastAsia="Arial" w:hAnsi="Helvetica" w:cs="Arial"/>
          <w:sz w:val="20"/>
        </w:rPr>
        <w:t xml:space="preserve"> kompozicij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>, apiman</w:t>
      </w:r>
      <w:r w:rsidR="00A9700A" w:rsidRPr="0097525E">
        <w:rPr>
          <w:rFonts w:ascii="Helvetica" w:eastAsia="Arial" w:hAnsi="Helvetica" w:cs="Arial"/>
          <w:sz w:val="20"/>
        </w:rPr>
        <w:t>čią</w:t>
      </w:r>
      <w:r w:rsidRPr="0097525E">
        <w:rPr>
          <w:rFonts w:ascii="Helvetica" w:eastAsia="Arial" w:hAnsi="Helvetica" w:cs="Arial"/>
          <w:sz w:val="20"/>
        </w:rPr>
        <w:t xml:space="preserve"> decitabiną.</w:t>
      </w:r>
    </w:p>
    <w:p w14:paraId="63D78A65" w14:textId="5EE52D5D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90A3F79" w14:textId="0342633A" w:rsidR="00296F43" w:rsidRPr="0097525E" w:rsidRDefault="00296F43" w:rsidP="009752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7525E">
        <w:rPr>
          <w:rFonts w:ascii="Helvetica" w:eastAsia="Arial" w:hAnsi="Helvetica" w:cs="Arial"/>
          <w:sz w:val="20"/>
        </w:rPr>
        <w:t>7. Farmacinių kompozicijų rinkinys, skirtas naudoti ūminės mielogeninės leukemijos gydymo būdu</w:t>
      </w:r>
      <w:r w:rsidR="00A9700A" w:rsidRPr="0097525E">
        <w:rPr>
          <w:rFonts w:ascii="Helvetica" w:eastAsia="Arial" w:hAnsi="Helvetica" w:cs="Arial"/>
          <w:sz w:val="20"/>
        </w:rPr>
        <w:t>i</w:t>
      </w:r>
      <w:r w:rsidRPr="0097525E">
        <w:rPr>
          <w:rFonts w:ascii="Helvetica" w:eastAsia="Arial" w:hAnsi="Helvetica" w:cs="Arial"/>
          <w:sz w:val="20"/>
        </w:rPr>
        <w:t>, minėtas rinkinys apima atskiras farmacines kompozicijas, vieną iš farmacinių kompozicijų, apimanči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 xml:space="preserve"> 2-((3R,5R,6S)-5-(3-chlorfenil)-6-(4-chlorfenil)-1-((S)-1-(izopropilsulfonil)-3-metilbutan-2-il)-3-metil-2-oksopiperidin-3-il)</w:t>
      </w:r>
      <w:r w:rsidR="00A9700A" w:rsidRPr="0097525E">
        <w:rPr>
          <w:rFonts w:ascii="Helvetica" w:eastAsia="Arial" w:hAnsi="Helvetica" w:cs="Arial"/>
          <w:sz w:val="20"/>
        </w:rPr>
        <w:t xml:space="preserve"> </w:t>
      </w:r>
      <w:r w:rsidRPr="0097525E">
        <w:rPr>
          <w:rFonts w:ascii="Helvetica" w:eastAsia="Arial" w:hAnsi="Helvetica" w:cs="Arial"/>
          <w:sz w:val="20"/>
        </w:rPr>
        <w:t>acto rūgšt</w:t>
      </w:r>
      <w:r w:rsidR="00A9700A" w:rsidRPr="0097525E">
        <w:rPr>
          <w:rFonts w:ascii="Helvetica" w:eastAsia="Arial" w:hAnsi="Helvetica" w:cs="Arial"/>
          <w:sz w:val="20"/>
        </w:rPr>
        <w:t>į</w:t>
      </w:r>
      <w:r w:rsidRPr="0097525E">
        <w:rPr>
          <w:rFonts w:ascii="Helvetica" w:eastAsia="Arial" w:hAnsi="Helvetica" w:cs="Arial"/>
          <w:sz w:val="20"/>
        </w:rPr>
        <w:t xml:space="preserve"> ir kit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 xml:space="preserve"> farmacin</w:t>
      </w:r>
      <w:r w:rsidR="00A9700A" w:rsidRPr="0097525E">
        <w:rPr>
          <w:rFonts w:ascii="Helvetica" w:eastAsia="Arial" w:hAnsi="Helvetica" w:cs="Arial"/>
          <w:sz w:val="20"/>
        </w:rPr>
        <w:t>ę</w:t>
      </w:r>
      <w:r w:rsidRPr="0097525E">
        <w:rPr>
          <w:rFonts w:ascii="Helvetica" w:eastAsia="Arial" w:hAnsi="Helvetica" w:cs="Arial"/>
          <w:sz w:val="20"/>
        </w:rPr>
        <w:t xml:space="preserve"> kompozicij</w:t>
      </w:r>
      <w:r w:rsidR="00A9700A" w:rsidRPr="0097525E">
        <w:rPr>
          <w:rFonts w:ascii="Helvetica" w:eastAsia="Arial" w:hAnsi="Helvetica" w:cs="Arial"/>
          <w:sz w:val="20"/>
        </w:rPr>
        <w:t>ą</w:t>
      </w:r>
      <w:r w:rsidRPr="0097525E">
        <w:rPr>
          <w:rFonts w:ascii="Helvetica" w:eastAsia="Arial" w:hAnsi="Helvetica" w:cs="Arial"/>
          <w:sz w:val="20"/>
        </w:rPr>
        <w:t>, apiman</w:t>
      </w:r>
      <w:r w:rsidR="00A9700A" w:rsidRPr="0097525E">
        <w:rPr>
          <w:rFonts w:ascii="Helvetica" w:eastAsia="Arial" w:hAnsi="Helvetica" w:cs="Arial"/>
          <w:sz w:val="20"/>
        </w:rPr>
        <w:t>čią</w:t>
      </w:r>
      <w:r w:rsidRPr="0097525E">
        <w:rPr>
          <w:rFonts w:ascii="Helvetica" w:eastAsia="Arial" w:hAnsi="Helvetica" w:cs="Arial"/>
          <w:sz w:val="20"/>
        </w:rPr>
        <w:t xml:space="preserve"> citarabiną .</w:t>
      </w:r>
    </w:p>
    <w:sectPr w:rsidR="00296F43" w:rsidRPr="0097525E" w:rsidSect="0097525E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2740" w14:textId="77777777" w:rsidR="00F9689C" w:rsidRDefault="00F9689C">
      <w:pPr>
        <w:spacing w:after="0" w:line="240" w:lineRule="auto"/>
      </w:pPr>
      <w:r>
        <w:separator/>
      </w:r>
    </w:p>
  </w:endnote>
  <w:endnote w:type="continuationSeparator" w:id="0">
    <w:p w14:paraId="045CB7FE" w14:textId="77777777" w:rsidR="00F9689C" w:rsidRDefault="00F9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5163" w14:textId="77777777" w:rsidR="00F9689C" w:rsidRDefault="00F9689C">
      <w:pPr>
        <w:spacing w:after="0" w:line="240" w:lineRule="auto"/>
      </w:pPr>
      <w:r>
        <w:separator/>
      </w:r>
    </w:p>
  </w:footnote>
  <w:footnote w:type="continuationSeparator" w:id="0">
    <w:p w14:paraId="28575E40" w14:textId="77777777" w:rsidR="00F9689C" w:rsidRDefault="00F9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42545">
    <w:abstractNumId w:val="4"/>
  </w:num>
  <w:num w:numId="2" w16cid:durableId="1495606763">
    <w:abstractNumId w:val="8"/>
  </w:num>
  <w:num w:numId="3" w16cid:durableId="1146625141">
    <w:abstractNumId w:val="5"/>
  </w:num>
  <w:num w:numId="4" w16cid:durableId="685787811">
    <w:abstractNumId w:val="2"/>
  </w:num>
  <w:num w:numId="5" w16cid:durableId="88085272">
    <w:abstractNumId w:val="7"/>
  </w:num>
  <w:num w:numId="6" w16cid:durableId="1105222977">
    <w:abstractNumId w:val="9"/>
  </w:num>
  <w:num w:numId="7" w16cid:durableId="190728759">
    <w:abstractNumId w:val="1"/>
  </w:num>
  <w:num w:numId="8" w16cid:durableId="444693002">
    <w:abstractNumId w:val="0"/>
  </w:num>
  <w:num w:numId="9" w16cid:durableId="55783236">
    <w:abstractNumId w:val="6"/>
  </w:num>
  <w:num w:numId="10" w16cid:durableId="105161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219B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96F43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034C"/>
    <w:rsid w:val="00551453"/>
    <w:rsid w:val="005C3366"/>
    <w:rsid w:val="005C553A"/>
    <w:rsid w:val="005F28E4"/>
    <w:rsid w:val="00604E63"/>
    <w:rsid w:val="006111BE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2538E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732A5"/>
    <w:rsid w:val="0097525E"/>
    <w:rsid w:val="00976763"/>
    <w:rsid w:val="00983DA3"/>
    <w:rsid w:val="009A4AD9"/>
    <w:rsid w:val="009A52A3"/>
    <w:rsid w:val="009A7FA9"/>
    <w:rsid w:val="009D52F5"/>
    <w:rsid w:val="009F688C"/>
    <w:rsid w:val="00A21121"/>
    <w:rsid w:val="00A24B55"/>
    <w:rsid w:val="00A26A2E"/>
    <w:rsid w:val="00A43DFA"/>
    <w:rsid w:val="00A854D4"/>
    <w:rsid w:val="00A9700A"/>
    <w:rsid w:val="00AA5193"/>
    <w:rsid w:val="00AC126E"/>
    <w:rsid w:val="00AC162B"/>
    <w:rsid w:val="00AE1DE9"/>
    <w:rsid w:val="00B86D82"/>
    <w:rsid w:val="00B91326"/>
    <w:rsid w:val="00C34607"/>
    <w:rsid w:val="00C60EE7"/>
    <w:rsid w:val="00C779EF"/>
    <w:rsid w:val="00CB47B0"/>
    <w:rsid w:val="00CD0760"/>
    <w:rsid w:val="00D35E6E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23F23"/>
    <w:rsid w:val="00F34A74"/>
    <w:rsid w:val="00F36AC5"/>
    <w:rsid w:val="00F610AA"/>
    <w:rsid w:val="00F822D3"/>
    <w:rsid w:val="00F9689C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2A5"/>
  </w:style>
  <w:style w:type="paragraph" w:styleId="Footer">
    <w:name w:val="footer"/>
    <w:basedOn w:val="Normal"/>
    <w:link w:val="FooterChar"/>
    <w:uiPriority w:val="99"/>
    <w:unhideWhenUsed/>
    <w:rsid w:val="00973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2242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2</cp:revision>
  <dcterms:created xsi:type="dcterms:W3CDTF">2022-06-09T09:56:00Z</dcterms:created>
  <dcterms:modified xsi:type="dcterms:W3CDTF">2022-06-09T09:56:00Z</dcterms:modified>
</cp:coreProperties>
</file>