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EFB6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>1. Farmacinė kompozicija, apimanti:</w:t>
      </w:r>
    </w:p>
    <w:p w14:paraId="430BFD4C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joninį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vandeninį tirpalą; ir</w:t>
      </w:r>
    </w:p>
    <w:p w14:paraId="3E0120D4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sulfatintą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polisacharidą, turintį nuo 4kDa iki 5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MDa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vidutinę molekulinę masę, ir apimantį L-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fukozę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ir sulfato esterio grupes,</w:t>
      </w:r>
    </w:p>
    <w:p w14:paraId="4C554526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joninis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vandeninis tirpalas apima jūros vandenį arba druskos tirpalą, ir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sulfatintas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polisacharidas yra gautas iš ekstrakto, išskirto iš rudųjų dumblių, arba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sulfatintas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polisacharidas yra sintetinis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fukoidano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polisacharidas, skirtas panaudoti taikant gydymo būdą uždegimo arba būklės, pasirinktos iš grupės, susidedančios iš ūminio ir lėtinio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rinosinusito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>, alerginio ir nealerginio rinito, kur kompozicija yra įvedama per nosį arba inhaliacijos būdu.</w:t>
      </w:r>
    </w:p>
    <w:p w14:paraId="7E4A9E5D" w14:textId="29938F6A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0FAA54A4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2. Farmacinė kompozicija, skirta panaudoti pagal 1 punktą,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sulfatintas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polisacharidas, gautas iš ekstrakto, išskirto iš rudųjų dumblių, yra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fukoidanas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>.</w:t>
      </w:r>
    </w:p>
    <w:p w14:paraId="147DDEFD" w14:textId="1CF1999F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3BE0475C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i/>
          <w:iCs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3. Farmacinė kompozicija, skirta panaudoti pagal 2 punktą, kur rudieji dumbliai yra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Undaria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 xml:space="preserve">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pinnatifida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.</w:t>
      </w:r>
    </w:p>
    <w:p w14:paraId="261E57C9" w14:textId="7B9F2081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751A78CE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>4. Farmacinė kompozicija, skirta panaudoti pagal bet kurį vieną iš 1 – 3 punktų, papildomai apimanti mėlynųjų/žaliųjų dumblių ekstraktą.</w:t>
      </w:r>
    </w:p>
    <w:p w14:paraId="13997F49" w14:textId="22AEFA76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02B4BE28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>5. Farmacinė kompozicija, skirta panaudoti pagal bet kurį vieną iš 1 – 4 punktų, papildomai apimanti mažiausiai vieną iš šių:</w:t>
      </w:r>
    </w:p>
    <w:p w14:paraId="6AEFC591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-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sulfatintą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, polisacharidą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galaktozės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pagrindu, kurio vidutinė molekulinė masė yra didesnė negu 15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kDa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>;</w:t>
      </w:r>
    </w:p>
    <w:p w14:paraId="0B7B3EFF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- mažiausiai vieną medžiagą, pasirinktą iš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egzogeninių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druskų,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priešmikrobinių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agentų, aminorūgščių ir eterinių aliejų; </w:t>
      </w:r>
    </w:p>
    <w:p w14:paraId="122C75A9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>- kmynų ekstraktą; ir</w:t>
      </w:r>
    </w:p>
    <w:p w14:paraId="4EAA90A3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>- mažiausiai vieną drėkinamąjį agentą.</w:t>
      </w:r>
    </w:p>
    <w:p w14:paraId="007B988E" w14:textId="2DCB559D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2098432C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6. Farmacinė kompozicija, skirta panaudoti pagal bet kurį vieną iš 1 – 4 punktų, papildomai apimanti mažiausiai vieną medžiagą, pasirinktą iš kortikosteroidų, kitų steroidinių junginių,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antihistaminų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, paburkimą mažinančių agentų,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bronchodilatatorių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, β2-adrenerginių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agonistų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ir antibiotikų.</w:t>
      </w:r>
    </w:p>
    <w:p w14:paraId="0C55C2AF" w14:textId="6CA02C38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511A6E6E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7. Farmacinė kompozicija, skirta panaudoti pagal bet kurį vieną iš 1 – 6 punktų,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sulfatinto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polisacharido kiekis yra ribose nuo 0,1 iki 10 masės % kompozicijos kiekio, ir kur esant minėtoje farmacinėje kompozicijoje, mėlynųjų/žaliųjų dumblių ekstrakto kiekis yra ribose nuo 0,1 iki 10 masės % kompozicijos kiekio, ir polisacharido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galaktozės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pagrindu kiekis yra ribose nuo 0,1 iki 10 masės % kompozicijos kiekio.</w:t>
      </w:r>
    </w:p>
    <w:p w14:paraId="7E0B52A7" w14:textId="57CD456C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136ECD5A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i/>
          <w:iCs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8. Farmacinė kompozicija, skirta panaudoti pagal bet kurį vieną iš 4 – 7 punktų, kur mėlynųjų/žaliųjų dumblių ekstraktas yra išskirtas iš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Spirulina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 xml:space="preserve">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platensis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.</w:t>
      </w:r>
    </w:p>
    <w:p w14:paraId="1CC8B2C4" w14:textId="78ED1B6B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5A7EBE1A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9. Farmacinė kompozicija, skirta panaudoti pagal 5 arba 7 punktą, kur polisacharidas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galaktozės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pagrindu yra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karagenanas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, arba kur polisacharidas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galaktozės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pagrindu yra gautas iš ekstrakto, išskirto iš raudonųjų dumblių.</w:t>
      </w:r>
    </w:p>
    <w:p w14:paraId="4B4FCE6D" w14:textId="77777777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4FAF036A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10. Farmacinė kompozicija, skirta panaudoti pagal 9 punktą,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karagenanas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yra pasirinktas iš grupės, susidedančios iš jota-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karagenano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>, kapa-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karagenano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ir lambda-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karagenano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(pvz. jota-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karagenano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>).</w:t>
      </w:r>
    </w:p>
    <w:p w14:paraId="0822CEDB" w14:textId="3B41DA3F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3A6656C4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i/>
          <w:iCs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11. Farmacinė kompozicija, skirta panaudoti pagal 9 punktą, kur raudonieji dumbliai yra pasirinkti iš grupės, susidedančios iš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Gigartina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 xml:space="preserve">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stellata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,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Chondrus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 xml:space="preserve">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chrispus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,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Kappaphycus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 xml:space="preserve"> </w:t>
      </w:r>
      <w:proofErr w:type="spellStart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cottonii</w:t>
      </w:r>
      <w:proofErr w:type="spellEnd"/>
      <w:r w:rsidRPr="007446D2">
        <w:rPr>
          <w:rFonts w:ascii="Helvetica" w:hAnsi="Helvetica" w:cs="Arial"/>
          <w:i/>
          <w:iCs/>
          <w:color w:val="000000"/>
          <w:sz w:val="20"/>
          <w:lang w:val="lt-LT" w:eastAsia="lt-LT"/>
        </w:rPr>
        <w:t>.</w:t>
      </w:r>
    </w:p>
    <w:p w14:paraId="031B6151" w14:textId="685E7ED2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4C71182C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12. Farmacinė kompozicija, skirta panaudoti pagal bet kurį vieną iš 1 – 11 punktų,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joninio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vandeninio tirpalo kiekis yra ribose nuo 10 iki 99,9 masės % kompozicijos kiekio.</w:t>
      </w:r>
    </w:p>
    <w:p w14:paraId="29B92F39" w14:textId="0C3439A0" w:rsidR="0002434F" w:rsidRPr="007446D2" w:rsidRDefault="0002434F" w:rsidP="007446D2">
      <w:pPr>
        <w:spacing w:after="0" w:line="360" w:lineRule="auto"/>
        <w:jc w:val="both"/>
        <w:rPr>
          <w:rFonts w:ascii="Helvetica" w:hAnsi="Helvetica" w:cs="Arial"/>
          <w:color w:val="000000"/>
          <w:sz w:val="20"/>
          <w:lang w:val="lt-LT" w:eastAsia="lt-LT"/>
        </w:rPr>
      </w:pPr>
    </w:p>
    <w:p w14:paraId="40556304" w14:textId="77777777" w:rsidR="0002434F" w:rsidRPr="007446D2" w:rsidRDefault="0002434F" w:rsidP="007446D2">
      <w:pPr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  <w:lang w:val="lt-LT" w:eastAsia="lt-LT"/>
        </w:rPr>
      </w:pPr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13. Farmacinė kompozicija, skirta panaudoti pagal 5 punktą, kur drėkinimo agentas yra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dekspantenolis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arba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pantoteno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rūgštis, ir kur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dekspantenolio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arba </w:t>
      </w:r>
      <w:proofErr w:type="spellStart"/>
      <w:r w:rsidRPr="007446D2">
        <w:rPr>
          <w:rFonts w:ascii="Helvetica" w:hAnsi="Helvetica" w:cs="Arial"/>
          <w:color w:val="000000"/>
          <w:sz w:val="20"/>
          <w:lang w:val="lt-LT" w:eastAsia="lt-LT"/>
        </w:rPr>
        <w:t>pantoteno</w:t>
      </w:r>
      <w:proofErr w:type="spellEnd"/>
      <w:r w:rsidRPr="007446D2">
        <w:rPr>
          <w:rFonts w:ascii="Helvetica" w:hAnsi="Helvetica" w:cs="Arial"/>
          <w:color w:val="000000"/>
          <w:sz w:val="20"/>
          <w:lang w:val="lt-LT" w:eastAsia="lt-LT"/>
        </w:rPr>
        <w:t xml:space="preserve"> rūgšties koncentracija yra 0,25-2,5 masės % ribose.</w:t>
      </w:r>
    </w:p>
    <w:sectPr w:rsidR="0002434F" w:rsidRPr="007446D2" w:rsidSect="007446D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6C13" w14:textId="77777777" w:rsidR="00CA55BF" w:rsidRDefault="00CA55BF" w:rsidP="007B0A41">
      <w:pPr>
        <w:spacing w:after="0" w:line="240" w:lineRule="auto"/>
      </w:pPr>
      <w:r>
        <w:separator/>
      </w:r>
    </w:p>
  </w:endnote>
  <w:endnote w:type="continuationSeparator" w:id="0">
    <w:p w14:paraId="218917D5" w14:textId="77777777" w:rsidR="00CA55BF" w:rsidRDefault="00CA55B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BE52" w14:textId="77777777" w:rsidR="00CA55BF" w:rsidRDefault="00CA55BF" w:rsidP="007B0A41">
      <w:pPr>
        <w:spacing w:after="0" w:line="240" w:lineRule="auto"/>
      </w:pPr>
      <w:r>
        <w:separator/>
      </w:r>
    </w:p>
  </w:footnote>
  <w:footnote w:type="continuationSeparator" w:id="0">
    <w:p w14:paraId="2709C7A5" w14:textId="77777777" w:rsidR="00CA55BF" w:rsidRDefault="00CA55B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434F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3AB3"/>
    <w:rsid w:val="001668DF"/>
    <w:rsid w:val="00167C76"/>
    <w:rsid w:val="00192F10"/>
    <w:rsid w:val="001A3E8E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2758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E7BCE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A34C0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1D23"/>
    <w:rsid w:val="006031C5"/>
    <w:rsid w:val="006049CC"/>
    <w:rsid w:val="00617E21"/>
    <w:rsid w:val="0063322A"/>
    <w:rsid w:val="006375BB"/>
    <w:rsid w:val="006425EE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446D2"/>
    <w:rsid w:val="00774C96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46DA4"/>
    <w:rsid w:val="00A51B6C"/>
    <w:rsid w:val="00A534B9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A0521"/>
    <w:rsid w:val="00CA55BF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B5BEA279-7145-48BB-BAB1-B13C943B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2903</Characters>
  <Application>Microsoft Office Word</Application>
  <DocSecurity>0</DocSecurity>
  <Lines>60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2024-10-25T14:52:00Z</dcterms:created>
  <dcterms:modified xsi:type="dcterms:W3CDTF">2025-01-30T09:46:00Z</dcterms:modified>
</cp:coreProperties>
</file>