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AC26" w14:textId="77777777" w:rsidR="00307678" w:rsidRPr="00307678" w:rsidRDefault="00307678" w:rsidP="00307678">
      <w:pPr>
        <w:spacing w:line="360" w:lineRule="auto"/>
        <w:ind w:firstLine="567"/>
        <w:jc w:val="both"/>
        <w:rPr>
          <w:rFonts w:ascii="Helvetica" w:hAnsi="Helvetica"/>
          <w:szCs w:val="24"/>
        </w:rPr>
      </w:pPr>
      <w:r w:rsidRPr="00307678">
        <w:rPr>
          <w:rFonts w:ascii="Helvetica" w:hAnsi="Helvetica"/>
          <w:szCs w:val="24"/>
        </w:rPr>
        <w:t>1. Dozavimo įtaisas, apimantis:</w:t>
      </w:r>
    </w:p>
    <w:p w14:paraId="7923E8FF"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dozatorių (2) vaistiniams ir (arba) kosmetiniams skysčiams (100) dozuoti, su</w:t>
      </w:r>
    </w:p>
    <w:p w14:paraId="71AE6B81"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korpusu (220), </w:t>
      </w:r>
    </w:p>
    <w:p w14:paraId="4B5F3138"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skysčio talpykla (21) ir </w:t>
      </w:r>
    </w:p>
    <w:p w14:paraId="1DF006D7"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išleidimo anga (24), per kurią skystis (100) gali būti išleidžiamas į išorę,</w:t>
      </w:r>
    </w:p>
    <w:p w14:paraId="1C432340"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ir </w:t>
      </w:r>
    </w:p>
    <w:p w14:paraId="56AC0A1E"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apsauginį dangtelį (3) su vidiniu dangteliu (4) bei išoriniu dangteliu (5), </w:t>
      </w:r>
    </w:p>
    <w:p w14:paraId="210CFFC3"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kur</w:t>
      </w:r>
    </w:p>
    <w:p w14:paraId="0ABC8DAC"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vidinis dangtelis (4) yra pritaikytas pakartotinai nuimti nuo korpuso bei uždėti ant jo ir turi bent vieną vėdinimo angą (40), per kurią apsauginio dangtelio (3) vidinė pusė susisiekia su išore, ir </w:t>
      </w:r>
    </w:p>
    <w:p w14:paraId="7E93AAF0"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prieš pradedant naudoti, išorinis dangtelis (5) yra uždėtas ant vidinio dangtelio (4) pirmoje padėtyje, kurioje vidinis dangtelis (4) sandariai susiliečia su išoriniu dangteliu (5) ir bent viena vėdinimo anga (40) yra hermetiškai bei steriliai izoliuota nuo aplinkos, ir </w:t>
      </w:r>
    </w:p>
    <w:p w14:paraId="0211C6E2"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išorinis dangtelis (5) gali judėti vidinio dangtelio (4) atžvilgiu iš pirmos padėties bent į antrą padėtį, kurioje vidinis dangtelis (4) sandariai nesusiliečia su išoriniu dangteliu (5) ir bent viena vėdinimo anga (40) susisiekia su išore, </w:t>
      </w:r>
    </w:p>
    <w:p w14:paraId="7F076BCB"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kur</w:t>
      </w:r>
    </w:p>
    <w:p w14:paraId="5ABF4495" w14:textId="2A69C393"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išorinis dangtelis (5) turi blokavimo elementą (56), kuris priešinasi išorinio dangtelio (5) judėjimui vidinio dangtelio </w:t>
      </w:r>
      <w:r>
        <w:rPr>
          <w:rFonts w:ascii="Helvetica" w:hAnsi="Helvetica"/>
          <w:szCs w:val="24"/>
        </w:rPr>
        <w:t xml:space="preserve">(4) </w:t>
      </w:r>
      <w:r w:rsidRPr="00307678">
        <w:rPr>
          <w:rFonts w:ascii="Helvetica" w:hAnsi="Helvetica"/>
          <w:szCs w:val="24"/>
        </w:rPr>
        <w:t xml:space="preserve">atžvilgiu į pirmą padėtį, ir </w:t>
      </w:r>
    </w:p>
    <w:p w14:paraId="76B6E004"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bent vienas blokavimo elementas (56) yra reguliuojamas tarp blokavimo padėties, kurioje išorinio dangtelio (5) judėjimas vidinio dangtelio (4) atžvilgiu į pirmąją padėtį yra blokuojamas, ir atlaisvinimo padėties, kurioje išorinis dangtelis (5) gali judėti vidinio dangtelio (4) atžvilgiu į pirmąją padėtį, kur blokavimo elementas (56) yra priverstinai nustatomas į blokavimo padėtį, </w:t>
      </w:r>
    </w:p>
    <w:p w14:paraId="60BCFC20" w14:textId="7F2C8D9B"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kur minėtas dozavimo įtaisas yra </w:t>
      </w:r>
      <w:r>
        <w:rPr>
          <w:rFonts w:ascii="Helvetica" w:hAnsi="Helvetica"/>
          <w:szCs w:val="24"/>
        </w:rPr>
        <w:t xml:space="preserve"> </w:t>
      </w:r>
      <w:r w:rsidRPr="00307678">
        <w:rPr>
          <w:rFonts w:ascii="Helvetica" w:hAnsi="Helvetica"/>
          <w:szCs w:val="24"/>
        </w:rPr>
        <w:t>b e s i s k i r i a n t i s</w:t>
      </w:r>
      <w:r>
        <w:rPr>
          <w:rFonts w:ascii="Helvetica" w:hAnsi="Helvetica"/>
          <w:szCs w:val="24"/>
        </w:rPr>
        <w:t xml:space="preserve"> </w:t>
      </w:r>
      <w:r w:rsidRPr="00307678">
        <w:rPr>
          <w:rFonts w:ascii="Helvetica" w:hAnsi="Helvetica"/>
          <w:szCs w:val="24"/>
        </w:rPr>
        <w:t xml:space="preserve"> tuo, kad </w:t>
      </w:r>
    </w:p>
    <w:p w14:paraId="4D214F6F" w14:textId="77777777" w:rsidR="00307678" w:rsidRPr="00307678" w:rsidRDefault="00307678" w:rsidP="00307678">
      <w:pPr>
        <w:spacing w:line="360" w:lineRule="auto"/>
        <w:jc w:val="both"/>
        <w:rPr>
          <w:rFonts w:ascii="Helvetica" w:hAnsi="Helvetica"/>
          <w:szCs w:val="24"/>
        </w:rPr>
      </w:pPr>
      <w:r w:rsidRPr="00307678">
        <w:rPr>
          <w:rFonts w:ascii="Helvetica" w:hAnsi="Helvetica"/>
          <w:szCs w:val="24"/>
        </w:rPr>
        <w:t xml:space="preserve">- vidinis dangtelis (4) turi bent vieną papildomą angą, kur tam, kad išorinis dangtelis (5) galėtų judėti vidinio dangtelio (4) atžvilgiu į pirmą padėtį, bent vienas blokavimo elementas (56) atlaisvinimo padėtyje gali būti nukreipiamas į bent vieną papildomą angą. </w:t>
      </w:r>
    </w:p>
    <w:p w14:paraId="11F1402D" w14:textId="77777777" w:rsidR="00307678" w:rsidRPr="00307678" w:rsidRDefault="00307678" w:rsidP="00307678">
      <w:pPr>
        <w:spacing w:line="360" w:lineRule="auto"/>
        <w:jc w:val="both"/>
        <w:rPr>
          <w:rFonts w:ascii="Helvetica" w:hAnsi="Helvetica"/>
          <w:szCs w:val="24"/>
        </w:rPr>
      </w:pPr>
    </w:p>
    <w:p w14:paraId="6F37B292" w14:textId="77777777" w:rsidR="00307678" w:rsidRPr="00307678" w:rsidRDefault="00307678" w:rsidP="00307678">
      <w:pPr>
        <w:spacing w:line="360" w:lineRule="auto"/>
        <w:ind w:firstLine="567"/>
        <w:jc w:val="both"/>
        <w:rPr>
          <w:rFonts w:ascii="Helvetica" w:hAnsi="Helvetica"/>
          <w:szCs w:val="24"/>
        </w:rPr>
      </w:pPr>
      <w:r w:rsidRPr="00307678">
        <w:rPr>
          <w:rFonts w:ascii="Helvetica" w:hAnsi="Helvetica"/>
          <w:szCs w:val="24"/>
        </w:rPr>
        <w:t xml:space="preserve">2. Dozavimo įtaisas pagal 1 punktą, kur bent vienas blokavimo elementas (56) dėl tamprios atkuriamosios jėgos yra priverstinai nustatomas į blokavimo padėtį. </w:t>
      </w:r>
    </w:p>
    <w:p w14:paraId="46CA7C08" w14:textId="77777777" w:rsidR="00307678" w:rsidRPr="00307678" w:rsidRDefault="00307678" w:rsidP="00307678">
      <w:pPr>
        <w:spacing w:line="360" w:lineRule="auto"/>
        <w:jc w:val="both"/>
        <w:rPr>
          <w:rFonts w:ascii="Helvetica" w:hAnsi="Helvetica"/>
          <w:szCs w:val="24"/>
        </w:rPr>
      </w:pPr>
    </w:p>
    <w:p w14:paraId="61051572" w14:textId="77777777" w:rsidR="00307678" w:rsidRPr="00307678" w:rsidRDefault="00307678" w:rsidP="00307678">
      <w:pPr>
        <w:spacing w:line="360" w:lineRule="auto"/>
        <w:ind w:firstLine="567"/>
        <w:jc w:val="both"/>
        <w:rPr>
          <w:rFonts w:ascii="Helvetica" w:hAnsi="Helvetica"/>
          <w:szCs w:val="24"/>
        </w:rPr>
      </w:pPr>
      <w:r w:rsidRPr="00307678">
        <w:rPr>
          <w:rFonts w:ascii="Helvetica" w:hAnsi="Helvetica"/>
          <w:szCs w:val="24"/>
        </w:rPr>
        <w:t xml:space="preserve">3. Dozavimo įtaisas pagal 1 punktą, kur bent vienas blokavimo elementas (56) yra sukonstruotas kaip </w:t>
      </w:r>
      <w:proofErr w:type="spellStart"/>
      <w:r w:rsidRPr="00307678">
        <w:rPr>
          <w:rFonts w:ascii="Helvetica" w:hAnsi="Helvetica"/>
          <w:szCs w:val="24"/>
        </w:rPr>
        <w:t>radialiai</w:t>
      </w:r>
      <w:proofErr w:type="spellEnd"/>
      <w:r w:rsidRPr="00307678">
        <w:rPr>
          <w:rFonts w:ascii="Helvetica" w:hAnsi="Helvetica"/>
          <w:szCs w:val="24"/>
        </w:rPr>
        <w:t xml:space="preserve"> į išorę išsikišanti auselė. </w:t>
      </w:r>
    </w:p>
    <w:p w14:paraId="1B14AEC0" w14:textId="77777777" w:rsidR="00307678" w:rsidRPr="00307678" w:rsidRDefault="00307678" w:rsidP="00307678">
      <w:pPr>
        <w:spacing w:line="360" w:lineRule="auto"/>
        <w:jc w:val="both"/>
        <w:rPr>
          <w:rFonts w:ascii="Helvetica" w:hAnsi="Helvetica"/>
          <w:szCs w:val="24"/>
        </w:rPr>
      </w:pPr>
    </w:p>
    <w:p w14:paraId="0380CAA7" w14:textId="77777777" w:rsidR="00307678" w:rsidRPr="00307678" w:rsidRDefault="00307678" w:rsidP="00307678">
      <w:pPr>
        <w:spacing w:line="360" w:lineRule="auto"/>
        <w:ind w:firstLine="567"/>
        <w:jc w:val="both"/>
        <w:rPr>
          <w:rFonts w:ascii="Helvetica" w:hAnsi="Helvetica"/>
          <w:szCs w:val="24"/>
        </w:rPr>
      </w:pPr>
      <w:r w:rsidRPr="00307678">
        <w:rPr>
          <w:rFonts w:ascii="Helvetica" w:hAnsi="Helvetica"/>
          <w:szCs w:val="24"/>
        </w:rPr>
        <w:t xml:space="preserve">4. Dozavimo įtaisas pagal 3 punktą, kur bent vienam iš blokavimo elementų (56) yra priskirtas apsauginis elementas, kad minėto blokavimo elemento (56) nebūtų galima valdyti rankiniu būdu. </w:t>
      </w:r>
    </w:p>
    <w:p w14:paraId="7EEB2668" w14:textId="77777777" w:rsidR="00307678" w:rsidRPr="00307678" w:rsidRDefault="00307678" w:rsidP="00307678">
      <w:pPr>
        <w:spacing w:line="360" w:lineRule="auto"/>
        <w:jc w:val="both"/>
        <w:rPr>
          <w:rFonts w:ascii="Helvetica" w:hAnsi="Helvetica"/>
          <w:szCs w:val="24"/>
        </w:rPr>
      </w:pPr>
    </w:p>
    <w:p w14:paraId="1E2D5766" w14:textId="77777777" w:rsidR="00307678" w:rsidRPr="00307678" w:rsidRDefault="00307678" w:rsidP="00307678">
      <w:pPr>
        <w:spacing w:line="360" w:lineRule="auto"/>
        <w:ind w:firstLine="567"/>
        <w:jc w:val="both"/>
        <w:rPr>
          <w:rFonts w:ascii="Helvetica" w:hAnsi="Helvetica"/>
          <w:szCs w:val="24"/>
        </w:rPr>
      </w:pPr>
      <w:r w:rsidRPr="00307678">
        <w:rPr>
          <w:rFonts w:ascii="Helvetica" w:hAnsi="Helvetica"/>
          <w:szCs w:val="24"/>
        </w:rPr>
        <w:t xml:space="preserve">5. Dozavimo įtaisas pagal bet kurį ankstesnį punktą, kur dozatorius papildomai apima išleidimo kanalą (23), kuris jungia skysčio talpyklą (21) su išleidimo anga (24), ir išleidimo vožtuvą (25), kuris gali atsidaryti veikiamas slėgio arba gali būti įjungiamas rankiniu būdu bei kuris yra įtaisytas išleidimo kanale (23) ir uždarymo padėtyje uždaro išleidimo kanalą (23). </w:t>
      </w:r>
    </w:p>
    <w:sectPr w:rsidR="00307678" w:rsidRPr="00307678" w:rsidSect="0030767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F0B9" w14:textId="77777777" w:rsidR="00307678" w:rsidRDefault="00307678" w:rsidP="00307678">
      <w:r>
        <w:separator/>
      </w:r>
    </w:p>
  </w:endnote>
  <w:endnote w:type="continuationSeparator" w:id="0">
    <w:p w14:paraId="0BE63097" w14:textId="77777777" w:rsidR="00307678" w:rsidRDefault="00307678" w:rsidP="0030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24CC" w14:textId="77777777" w:rsidR="00307678" w:rsidRDefault="00307678" w:rsidP="00307678">
      <w:r>
        <w:separator/>
      </w:r>
    </w:p>
  </w:footnote>
  <w:footnote w:type="continuationSeparator" w:id="0">
    <w:p w14:paraId="5F48CA6C" w14:textId="77777777" w:rsidR="00307678" w:rsidRDefault="00307678" w:rsidP="003076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8"/>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07678"/>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04857"/>
  <w15:chartTrackingRefBased/>
  <w15:docId w15:val="{36133E78-7357-4F3F-A150-E271D6C6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678"/>
    <w:pPr>
      <w:tabs>
        <w:tab w:val="center" w:pos="4819"/>
        <w:tab w:val="right" w:pos="9638"/>
      </w:tabs>
    </w:pPr>
  </w:style>
  <w:style w:type="character" w:customStyle="1" w:styleId="HeaderChar">
    <w:name w:val="Header Char"/>
    <w:basedOn w:val="DefaultParagraphFont"/>
    <w:link w:val="Header"/>
    <w:uiPriority w:val="99"/>
    <w:rsid w:val="00307678"/>
    <w:rPr>
      <w:lang w:eastAsia="en-US"/>
    </w:rPr>
  </w:style>
  <w:style w:type="paragraph" w:styleId="Footer">
    <w:name w:val="footer"/>
    <w:basedOn w:val="Normal"/>
    <w:link w:val="FooterChar"/>
    <w:uiPriority w:val="99"/>
    <w:unhideWhenUsed/>
    <w:rsid w:val="00307678"/>
    <w:pPr>
      <w:tabs>
        <w:tab w:val="center" w:pos="4819"/>
        <w:tab w:val="right" w:pos="9638"/>
      </w:tabs>
    </w:pPr>
  </w:style>
  <w:style w:type="character" w:customStyle="1" w:styleId="FooterChar">
    <w:name w:val="Footer Char"/>
    <w:basedOn w:val="DefaultParagraphFont"/>
    <w:link w:val="Footer"/>
    <w:uiPriority w:val="99"/>
    <w:rsid w:val="0030767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2375</Characters>
  <Application>Microsoft Office Word</Application>
  <DocSecurity>0</DocSecurity>
  <Lines>46</Lines>
  <Paragraphs>26</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2022-08-30T11:18:00Z</dcterms:created>
  <dcterms:modified xsi:type="dcterms:W3CDTF">2022-08-30T11:21:00Z</dcterms:modified>
</cp:coreProperties>
</file>