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C545"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1. Išskirtas monokloninis bispecifinis antikūnas arba antigeną surišanti jo dalis, kuri jungiasi prie beta-kloto (KLB) ir fibroblastų augimo faktoriaus receptoriaus 1c (FGFR1c), apima:</w:t>
      </w:r>
    </w:p>
    <w:p w14:paraId="7D5BC43A" w14:textId="77777777" w:rsidR="009415F4" w:rsidRPr="009415F4" w:rsidRDefault="009415F4" w:rsidP="009415F4">
      <w:pPr>
        <w:spacing w:line="360" w:lineRule="auto"/>
        <w:jc w:val="both"/>
        <w:rPr>
          <w:rFonts w:ascii="Helvetica" w:hAnsi="Helvetica"/>
          <w:szCs w:val="24"/>
        </w:rPr>
      </w:pPr>
      <w:r w:rsidRPr="009415F4">
        <w:rPr>
          <w:rFonts w:ascii="Helvetica" w:hAnsi="Helvetica"/>
          <w:szCs w:val="24"/>
        </w:rPr>
        <w:t>(a) pirmąją atšaką, kuri apima:</w:t>
      </w:r>
    </w:p>
    <w:p w14:paraId="4483CEF2" w14:textId="77777777" w:rsidR="009415F4" w:rsidRPr="009415F4" w:rsidRDefault="009415F4" w:rsidP="009415F4">
      <w:pPr>
        <w:spacing w:line="360" w:lineRule="auto"/>
        <w:jc w:val="both"/>
        <w:rPr>
          <w:rFonts w:ascii="Helvetica" w:hAnsi="Helvetica"/>
          <w:szCs w:val="24"/>
        </w:rPr>
      </w:pPr>
      <w:r w:rsidRPr="009415F4">
        <w:rPr>
          <w:rFonts w:ascii="Helvetica" w:hAnsi="Helvetica"/>
          <w:szCs w:val="24"/>
        </w:rPr>
        <w:t>(i) sunkiosios grandinės kintamosios srities CDR1 domeną, apimantį aminorūgščių seką, kaip nurodyta SEQ ID Nr. 15, sunkiosios grandinės kintamosios srities CDR2 domeną, apimantį aminorūgščių seką, kaip nurodyta SEQ ID Nr. 31, sunkiosios grandinės kintamosios srities CDR3 domeną, apimantį aminorūgščių seką, kaip nurodyta SEQ ID Nr. 47, lengvosios grandinės kintamosios srities CDR1 domeną, apimantį aminorūgščių seką, kaip nurodyta SEQ ID Nr. 62, lengvosios grandinės kintamosios srities CDR2 domeną, apimantį aminorūgščių seką, kaip nurodyta SEQ ID Nr. 78, ir lengvosios grandinės kintamosios srities CDR3 domeną, apimantį aminorūgščių seką, kaip nurodyta SEQ ID Nr. 93; ir</w:t>
      </w:r>
    </w:p>
    <w:p w14:paraId="0FA6E6B8" w14:textId="77777777" w:rsidR="009415F4" w:rsidRPr="009415F4" w:rsidRDefault="009415F4" w:rsidP="009415F4">
      <w:pPr>
        <w:spacing w:line="360" w:lineRule="auto"/>
        <w:jc w:val="both"/>
        <w:rPr>
          <w:rFonts w:ascii="Helvetica" w:hAnsi="Helvetica"/>
          <w:szCs w:val="24"/>
        </w:rPr>
      </w:pPr>
      <w:r w:rsidRPr="009415F4">
        <w:rPr>
          <w:rFonts w:ascii="Helvetica" w:hAnsi="Helvetica"/>
          <w:szCs w:val="24"/>
        </w:rPr>
        <w:t>(b) antrąją atšaką, kuri apima:</w:t>
      </w:r>
    </w:p>
    <w:p w14:paraId="10EDDB4B" w14:textId="77777777" w:rsidR="009415F4" w:rsidRPr="009415F4" w:rsidRDefault="009415F4" w:rsidP="009415F4">
      <w:pPr>
        <w:spacing w:line="360" w:lineRule="auto"/>
        <w:jc w:val="both"/>
        <w:rPr>
          <w:rFonts w:ascii="Helvetica" w:hAnsi="Helvetica"/>
          <w:szCs w:val="24"/>
        </w:rPr>
      </w:pPr>
      <w:r w:rsidRPr="009415F4">
        <w:rPr>
          <w:rFonts w:ascii="Helvetica" w:hAnsi="Helvetica"/>
          <w:szCs w:val="24"/>
        </w:rPr>
        <w:t>(i) sunkiosios grandinės kintamosios srities CDR1 domeną, apimantį aminorūgščių seką, kaip nurodyta SEQ ID Nr. 136, sunkiosios grandinės kintamosios srities CDR2 domeną, apimantį aminorūgščių seką, kaip nurodyta SEQ ID Nr. 137, sunkiosios grandinės kintamosios srities CDR3 domeną, apimantį aminorūgščių seką, kaip nurodyta SEQ ID Nr. 138, lengvosios grandinės kintamosios srities CDR1 domeną, apimantį aminorūgščių seką, kaip nurodyta SEQ ID Nr. 139, lengvosios grandinės kintamosios srities CDR2 domeną, apimantį aminorūgščių seką, kaip nurodyta SEQ ID Nr. 140, ir lengvosios grandinės kintamosios srities CDR3 domeną, apimantį aminorūgščių seką, kaip nurodyta SEQ ID Nr. 141.</w:t>
      </w:r>
    </w:p>
    <w:p w14:paraId="10027370" w14:textId="77777777" w:rsidR="009415F4" w:rsidRPr="009415F4" w:rsidRDefault="009415F4" w:rsidP="009415F4">
      <w:pPr>
        <w:spacing w:line="360" w:lineRule="auto"/>
        <w:jc w:val="both"/>
        <w:rPr>
          <w:rFonts w:ascii="Helvetica" w:hAnsi="Helvetica"/>
          <w:szCs w:val="24"/>
        </w:rPr>
      </w:pPr>
    </w:p>
    <w:p w14:paraId="49134317"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2. Išskirtas bispecifinis antikūnas arba antigeną surišanti jo dalis pagal 1 punktą, kuris yra žmogaus, humanizuotas arba chimerinis antikūnas.</w:t>
      </w:r>
    </w:p>
    <w:p w14:paraId="03019410" w14:textId="77777777" w:rsidR="009415F4" w:rsidRPr="009415F4" w:rsidRDefault="009415F4" w:rsidP="009415F4">
      <w:pPr>
        <w:spacing w:line="360" w:lineRule="auto"/>
        <w:jc w:val="both"/>
        <w:rPr>
          <w:rFonts w:ascii="Helvetica" w:hAnsi="Helvetica"/>
          <w:szCs w:val="24"/>
        </w:rPr>
      </w:pPr>
    </w:p>
    <w:p w14:paraId="6E99E0F5"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3. Išskirtas bispecifinis antikūnas arba antigeną surišanti jo dalis pagal 1 arba 2 punktą, kur pirmoji atšaka apima: a) sunkiosios grandinės kintamąją sritį, apimančią aminorūgščių seką, kaip nurodyta SEQ ID Nr. 128, ir b) lengvosios grandinės kintamąją sritį, apimančią aminorūgščių seką, kaip nurodyta SEQ ID Nr. 130.</w:t>
      </w:r>
    </w:p>
    <w:p w14:paraId="20580B39" w14:textId="77777777" w:rsidR="009415F4" w:rsidRPr="009415F4" w:rsidRDefault="009415F4" w:rsidP="009415F4">
      <w:pPr>
        <w:spacing w:line="360" w:lineRule="auto"/>
        <w:jc w:val="both"/>
        <w:rPr>
          <w:rFonts w:ascii="Helvetica" w:hAnsi="Helvetica"/>
          <w:szCs w:val="24"/>
        </w:rPr>
      </w:pPr>
    </w:p>
    <w:p w14:paraId="6CB3499E"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4. Išskirtas bispecifinis antikūnas arba antigeną surišanti jo dalis pagal bet kurį iš 1–3 punktų, kur pirmoji atšaka apima: a) sunkiąją grandinę, apimančią aminorūgščių seką, kaip nurodyta SEQ ID Nr. 129, ir b) lengvąją grandinę, apimančią aminorūgščių seką, kaip nurodyta SEQ ID Nr. 131.</w:t>
      </w:r>
    </w:p>
    <w:p w14:paraId="351C3047" w14:textId="77777777" w:rsidR="009415F4" w:rsidRPr="009415F4" w:rsidRDefault="009415F4" w:rsidP="009415F4">
      <w:pPr>
        <w:spacing w:line="360" w:lineRule="auto"/>
        <w:jc w:val="both"/>
        <w:rPr>
          <w:rFonts w:ascii="Helvetica" w:hAnsi="Helvetica"/>
          <w:szCs w:val="24"/>
        </w:rPr>
      </w:pPr>
    </w:p>
    <w:p w14:paraId="1574F3A1"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5. Išskirtas bispecifinis antikūnas arba antigeną surišanti jo dalis pagal bet kurį iš 1–4 punktų, kur antroji atšaka apima: a) sunkiosios grandinės kintamąją sritį, apimančią aminorūgščių seką, kaip nurodyta SEQ ID Nr. 132, ir b) lengvosios grandinės kintamąją sritį, apimančią aminorūgščių seką, kaip nurodyta SEQ ID Nr. 134.</w:t>
      </w:r>
    </w:p>
    <w:p w14:paraId="42B3272D" w14:textId="77777777" w:rsidR="009415F4" w:rsidRPr="009415F4" w:rsidRDefault="009415F4" w:rsidP="009415F4">
      <w:pPr>
        <w:spacing w:line="360" w:lineRule="auto"/>
        <w:jc w:val="both"/>
        <w:rPr>
          <w:rFonts w:ascii="Helvetica" w:hAnsi="Helvetica"/>
          <w:szCs w:val="24"/>
        </w:rPr>
      </w:pPr>
    </w:p>
    <w:p w14:paraId="6DF2D252"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6. Išskirtas bispecifinis antikūnas arba antigeną surišanti jo dalis pagal bet kurį iš 1–5 punktų, kur antroji atšaka apima: a) sunkiąją grandinę, apimančią aminorūgščių seką, kaip nurodyta SEQ ID Nr. 133, ir b) lengvąją grandinę, apimančią aminorūgščių seką, kaip nurodyta SEQ ID Nr. 135.</w:t>
      </w:r>
    </w:p>
    <w:p w14:paraId="177B7FFD" w14:textId="77777777" w:rsidR="009415F4" w:rsidRPr="009415F4" w:rsidRDefault="009415F4" w:rsidP="009415F4">
      <w:pPr>
        <w:spacing w:line="360" w:lineRule="auto"/>
        <w:jc w:val="both"/>
        <w:rPr>
          <w:rFonts w:ascii="Helvetica" w:hAnsi="Helvetica"/>
          <w:szCs w:val="24"/>
        </w:rPr>
      </w:pPr>
    </w:p>
    <w:p w14:paraId="77E9CB79"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7. Išskirta nukleorūgštis, koduojanti bispecifinį antikūną arba antigeną surišančią jo dalį pagal bet kurį iš 1–6 punktų.</w:t>
      </w:r>
    </w:p>
    <w:p w14:paraId="5F2FD47F" w14:textId="77777777" w:rsidR="009415F4" w:rsidRPr="009415F4" w:rsidRDefault="009415F4" w:rsidP="009415F4">
      <w:pPr>
        <w:spacing w:line="360" w:lineRule="auto"/>
        <w:jc w:val="both"/>
        <w:rPr>
          <w:rFonts w:ascii="Helvetica" w:hAnsi="Helvetica"/>
          <w:szCs w:val="24"/>
        </w:rPr>
      </w:pPr>
    </w:p>
    <w:p w14:paraId="48F7E992"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8. Ląstelė šeimininkė, apimanti nukleorūgštį pagal 7 punktą.</w:t>
      </w:r>
    </w:p>
    <w:p w14:paraId="69C87348" w14:textId="77777777" w:rsidR="009415F4" w:rsidRPr="009415F4" w:rsidRDefault="009415F4" w:rsidP="009415F4">
      <w:pPr>
        <w:spacing w:line="360" w:lineRule="auto"/>
        <w:jc w:val="both"/>
        <w:rPr>
          <w:rFonts w:ascii="Helvetica" w:hAnsi="Helvetica"/>
          <w:szCs w:val="24"/>
        </w:rPr>
      </w:pPr>
    </w:p>
    <w:p w14:paraId="49FB8AEA"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9. Antikūno gamybos būdas, apimantis ląstelės šeimininkės pagal 8 punktą kultivavimą tam, kad būtų pagamintas antikūnas, pasirinktinai, antikūno išskyrimą iš ląstelės šeimininkės.</w:t>
      </w:r>
    </w:p>
    <w:p w14:paraId="520D1337" w14:textId="77777777" w:rsidR="009415F4" w:rsidRPr="009415F4" w:rsidRDefault="009415F4" w:rsidP="009415F4">
      <w:pPr>
        <w:spacing w:line="360" w:lineRule="auto"/>
        <w:jc w:val="both"/>
        <w:rPr>
          <w:rFonts w:ascii="Helvetica" w:hAnsi="Helvetica"/>
          <w:szCs w:val="24"/>
        </w:rPr>
      </w:pPr>
    </w:p>
    <w:p w14:paraId="5AA70783"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10. Farmacinė kompozicija, apimanti bispecifinį antikūną arba antigeną surišančią jo dalį pagal bet kurį iš 1–6 punktų ir farmaciniu požiūriu priimtiną antigeno nešiklį, pasirinktinai, papildomą terapinį agentą.</w:t>
      </w:r>
    </w:p>
    <w:p w14:paraId="54D800F5" w14:textId="77777777" w:rsidR="009415F4" w:rsidRPr="009415F4" w:rsidRDefault="009415F4" w:rsidP="009415F4">
      <w:pPr>
        <w:spacing w:line="360" w:lineRule="auto"/>
        <w:jc w:val="both"/>
        <w:rPr>
          <w:rFonts w:ascii="Helvetica" w:hAnsi="Helvetica"/>
          <w:szCs w:val="24"/>
        </w:rPr>
      </w:pPr>
    </w:p>
    <w:p w14:paraId="7DA9A512"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11. Išskirtas bispecifinis antikūnas arba antigeną surišanti jo dalis pagal bet kurį iš 1–6 punktų, skirti naudoti gydant sutrikimą, parinktą iš grupės, kurią sudaro nutukimas, nealkoholinis steatohepatitas (NASH), nealkoholinė suriebėjusių kepenų liga (NAFLD), 2 tipo diabetas, netipinis 2 tipo diabetas, 1 tipo diabetas, latentinis autoimuninis diabetas (LAD) ir jaunų žmonių suaugusiųjų tipo diabetas (MODY).</w:t>
      </w:r>
    </w:p>
    <w:p w14:paraId="702E9D38" w14:textId="77777777" w:rsidR="009415F4" w:rsidRPr="009415F4" w:rsidRDefault="009415F4" w:rsidP="009415F4">
      <w:pPr>
        <w:spacing w:line="360" w:lineRule="auto"/>
        <w:jc w:val="both"/>
        <w:rPr>
          <w:rFonts w:ascii="Helvetica" w:hAnsi="Helvetica"/>
          <w:szCs w:val="24"/>
        </w:rPr>
      </w:pPr>
    </w:p>
    <w:p w14:paraId="47526CF2" w14:textId="77777777"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12. Išskirtas bispecifinis antikūnas, skirtas naudoti pagal 11 punktą, kur sutrikimas yra diabetas.</w:t>
      </w:r>
    </w:p>
    <w:p w14:paraId="402A66A4" w14:textId="77777777" w:rsidR="009415F4" w:rsidRPr="009415F4" w:rsidRDefault="009415F4" w:rsidP="009415F4">
      <w:pPr>
        <w:spacing w:line="360" w:lineRule="auto"/>
        <w:jc w:val="both"/>
        <w:rPr>
          <w:rFonts w:ascii="Helvetica" w:hAnsi="Helvetica"/>
          <w:szCs w:val="24"/>
        </w:rPr>
      </w:pPr>
    </w:p>
    <w:p w14:paraId="7845454A" w14:textId="4EA6A79A" w:rsidR="009415F4" w:rsidRPr="009415F4" w:rsidRDefault="009415F4" w:rsidP="009415F4">
      <w:pPr>
        <w:spacing w:line="360" w:lineRule="auto"/>
        <w:ind w:firstLine="567"/>
        <w:jc w:val="both"/>
        <w:rPr>
          <w:rFonts w:ascii="Helvetica" w:hAnsi="Helvetica"/>
          <w:szCs w:val="24"/>
        </w:rPr>
      </w:pPr>
      <w:r w:rsidRPr="009415F4">
        <w:rPr>
          <w:rFonts w:ascii="Helvetica" w:hAnsi="Helvetica"/>
          <w:szCs w:val="24"/>
        </w:rPr>
        <w:t>13. Išskirtas bispecifinis antikūnas, skirtas naudoti pagal 11 punktą, kur sutrikimas yra NASH.</w:t>
      </w:r>
    </w:p>
    <w:sectPr w:rsidR="009415F4" w:rsidRPr="009415F4" w:rsidSect="009415F4">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823E" w14:textId="77777777" w:rsidR="00532845" w:rsidRDefault="00532845" w:rsidP="009415F4">
      <w:r>
        <w:separator/>
      </w:r>
    </w:p>
  </w:endnote>
  <w:endnote w:type="continuationSeparator" w:id="0">
    <w:p w14:paraId="6F43374A" w14:textId="77777777" w:rsidR="00532845" w:rsidRDefault="00532845" w:rsidP="0094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2C6B" w14:textId="77777777" w:rsidR="00532845" w:rsidRDefault="00532845" w:rsidP="009415F4">
      <w:r>
        <w:separator/>
      </w:r>
    </w:p>
  </w:footnote>
  <w:footnote w:type="continuationSeparator" w:id="0">
    <w:p w14:paraId="6DDC69D0" w14:textId="77777777" w:rsidR="00532845" w:rsidRDefault="00532845" w:rsidP="00941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415F4"/>
    <w:rsid w:val="0000726D"/>
    <w:rsid w:val="0002640D"/>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2845"/>
    <w:rsid w:val="00535CD3"/>
    <w:rsid w:val="00536D9A"/>
    <w:rsid w:val="00550306"/>
    <w:rsid w:val="0056063D"/>
    <w:rsid w:val="00576B78"/>
    <w:rsid w:val="005A2745"/>
    <w:rsid w:val="005C4172"/>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15F4"/>
    <w:rsid w:val="00947F90"/>
    <w:rsid w:val="00973CCA"/>
    <w:rsid w:val="009834FF"/>
    <w:rsid w:val="00983D57"/>
    <w:rsid w:val="009B79F3"/>
    <w:rsid w:val="009E7C9A"/>
    <w:rsid w:val="009F2101"/>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050A"/>
    <w:rsid w:val="00BC407F"/>
    <w:rsid w:val="00BE163F"/>
    <w:rsid w:val="00C211B4"/>
    <w:rsid w:val="00CE2C39"/>
    <w:rsid w:val="00D47BE4"/>
    <w:rsid w:val="00D61739"/>
    <w:rsid w:val="00DC6934"/>
    <w:rsid w:val="00DE0809"/>
    <w:rsid w:val="00E33D40"/>
    <w:rsid w:val="00E468CE"/>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3E1A9"/>
  <w15:chartTrackingRefBased/>
  <w15:docId w15:val="{99DB2259-B91A-40E3-9FDF-0FCEAC46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5F4"/>
    <w:pPr>
      <w:tabs>
        <w:tab w:val="center" w:pos="4819"/>
        <w:tab w:val="right" w:pos="9638"/>
      </w:tabs>
    </w:pPr>
  </w:style>
  <w:style w:type="character" w:customStyle="1" w:styleId="HeaderChar">
    <w:name w:val="Header Char"/>
    <w:basedOn w:val="DefaultParagraphFont"/>
    <w:link w:val="Header"/>
    <w:uiPriority w:val="99"/>
    <w:rsid w:val="009415F4"/>
    <w:rPr>
      <w:lang w:eastAsia="en-US"/>
    </w:rPr>
  </w:style>
  <w:style w:type="paragraph" w:styleId="Footer">
    <w:name w:val="footer"/>
    <w:basedOn w:val="Normal"/>
    <w:link w:val="FooterChar"/>
    <w:uiPriority w:val="99"/>
    <w:unhideWhenUsed/>
    <w:rsid w:val="009415F4"/>
    <w:pPr>
      <w:tabs>
        <w:tab w:val="center" w:pos="4819"/>
        <w:tab w:val="right" w:pos="9638"/>
      </w:tabs>
    </w:pPr>
  </w:style>
  <w:style w:type="character" w:customStyle="1" w:styleId="FooterChar">
    <w:name w:val="Footer Char"/>
    <w:basedOn w:val="DefaultParagraphFont"/>
    <w:link w:val="Footer"/>
    <w:uiPriority w:val="99"/>
    <w:rsid w:val="009415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3593</Characters>
  <Application>Microsoft Office Word</Application>
  <DocSecurity>0</DocSecurity>
  <Lines>63</Lines>
  <Paragraphs>21</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1</cp:revision>
  <dcterms:created xsi:type="dcterms:W3CDTF">2022-09-05T10:55:00Z</dcterms:created>
  <dcterms:modified xsi:type="dcterms:W3CDTF">2022-09-05T10:57:00Z</dcterms:modified>
</cp:coreProperties>
</file>