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413D5" w14:textId="77777777" w:rsidR="00C863FE" w:rsidRPr="00C863FE" w:rsidRDefault="00C863FE" w:rsidP="00C863FE">
      <w:pPr>
        <w:spacing w:after="0" w:line="360" w:lineRule="auto"/>
        <w:ind w:firstLine="567"/>
        <w:jc w:val="both"/>
        <w:rPr>
          <w:rFonts w:ascii="Helvetica" w:eastAsia="Times New Roman" w:hAnsi="Helvetica" w:cs="Arial"/>
          <w:sz w:val="20"/>
          <w:szCs w:val="24"/>
          <w:lang w:val="lt-LT"/>
        </w:rPr>
      </w:pPr>
      <w:r w:rsidRPr="00C863FE">
        <w:rPr>
          <w:rFonts w:ascii="Helvetica" w:eastAsia="Times New Roman" w:hAnsi="Helvetica" w:cs="Arial"/>
          <w:sz w:val="20"/>
          <w:szCs w:val="24"/>
          <w:lang w:val="lt-LT"/>
        </w:rPr>
        <w:t>1. Medicininė jungtis (190), apimanti: fluido įleidimo prievadą (202), skirtą nuimamam sujungimui su fluido įpurškimo sistemos (100), turinčios korpusą (102), prijungimo prievadu (192), o minėtas prijungimo prievadas yra suformuotas ant daugkartinio naudojimo vienkartinio rinkinio (DNVR; MUDS – toliau angl.) (130), kuris yra nuimamai prijungtas prie fluido įpurškimo sistemos (100) tam, kad būtų sukurta fluido jungtis su ja, tuo tarpu prijungimo prievadas (192) yra įleistas į įdubimą ant korpuso (102) suformuotoje angoje;</w:t>
      </w:r>
    </w:p>
    <w:p w14:paraId="78A9B116" w14:textId="77777777" w:rsidR="00C863FE" w:rsidRPr="00C863FE" w:rsidRDefault="00C863FE" w:rsidP="00C863FE">
      <w:pPr>
        <w:spacing w:after="0" w:line="360" w:lineRule="auto"/>
        <w:jc w:val="both"/>
        <w:rPr>
          <w:rFonts w:ascii="Helvetica" w:hAnsi="Helvetica" w:cs="Arial"/>
          <w:color w:val="000000"/>
          <w:sz w:val="20"/>
          <w:szCs w:val="24"/>
          <w:lang w:val="lt-LT"/>
        </w:rPr>
      </w:pPr>
      <w:r w:rsidRPr="00C863FE">
        <w:rPr>
          <w:rFonts w:ascii="Helvetica" w:eastAsia="Times New Roman" w:hAnsi="Helvetica" w:cs="Arial"/>
          <w:sz w:val="20"/>
          <w:szCs w:val="24"/>
          <w:lang w:val="lt-LT"/>
        </w:rPr>
        <w:t xml:space="preserve">atliekų išleidimo prievadą (204), sukonfigūruotą taip, kad būtų galima nuimamai sujungti su fluido įpurškimo sistemos (100) atliekų įleidimo prievadu (196), kad būtų sukurta fluido jungtis tarp jų; paciento fluido liniją (208) pirmame gale (210) sujungtą su fluido įleidimo prievadu (202), o antrame gale (212) paciento fluido linijos jungtimi (214) nuimamai sujungtą su atliekų išleidimo prievadu (204), taip sukuriant fluido jungtį tarp fluido įleidimo prievado (202) ir atliekų išleidimo prievado (204), </w:t>
      </w:r>
      <w:r w:rsidRPr="00C863FE">
        <w:rPr>
          <w:rStyle w:val="rynqvb"/>
          <w:rFonts w:ascii="Helvetica" w:hAnsi="Helvetica" w:cs="Arial"/>
          <w:sz w:val="20"/>
          <w:szCs w:val="24"/>
          <w:lang w:val="lt-LT"/>
        </w:rPr>
        <w:t>kur fluido srautas per paciento fluido liniją (208) yra vienakryptis nuo pirmojo galo (210) iki antrojo galo (212), kur medicininė jungtis dar apima fiksavimo mechanizmą (216), skirtą nuimamai pritvirtinti medicininę jungtį (190) prie</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MUDS (130), kur fiksavimo mechanizmas (216) apima lanksčią ąselę (216), kuri yra nukreipiama tarp sujungimo padėties su priėmimo plyšiu (217) ant MUDS (130) ir atjungtos padėties, nukreipiant bent lanksčios ąselės (216) dalį;</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ir</w:t>
      </w:r>
    </w:p>
    <w:p w14:paraId="20FB899D" w14:textId="77777777" w:rsidR="00C863FE" w:rsidRPr="00C863FE" w:rsidRDefault="00C863FE" w:rsidP="00C863FE">
      <w:pPr>
        <w:spacing w:after="0" w:line="360" w:lineRule="auto"/>
        <w:jc w:val="both"/>
        <w:rPr>
          <w:rFonts w:ascii="Helvetica" w:eastAsia="Times New Roman" w:hAnsi="Helvetica" w:cs="Arial"/>
          <w:sz w:val="20"/>
          <w:szCs w:val="24"/>
          <w:lang w:val="lt-LT"/>
        </w:rPr>
      </w:pPr>
      <w:r w:rsidRPr="00C863FE">
        <w:rPr>
          <w:rFonts w:ascii="Helvetica" w:eastAsia="Times New Roman" w:hAnsi="Helvetica" w:cs="Arial"/>
          <w:sz w:val="20"/>
          <w:szCs w:val="24"/>
          <w:lang w:val="lt-LT"/>
        </w:rPr>
        <w:t>bent vieną jutiklio elementą (240), apimantį jutimo briauną (240) ant lanksčios ąselės (216), turinčios vieną ar daugiau atspindinčių paviršių, atspindinčių matomą arba infraraudonąją šviesą, kuri aptinkama bent vienu jutikliu (242), įtaisytu ir pritvirtintu atitinkamame laikiklyje, suformuotame ant fluido įpurškimo sistemos (100) korpuso (102), aptikimui, ar yra arba nėra jutiklio briaunos (240), kur bent vieno jutiklio elemento (240) buvimo aptikimas per bent vieną jutiklį (242) rodo, kad medicininė jungtis (190) buvo įdėta arba sumontuota į prijungimo prievadą (192); ir kur paciento fluido linija (208) ir paciento fluido linijos jungtis (214) yra sukonfigūruotos taip, kad būtų atjungtos nuo atliekų išleidimo prievado (204), kad fluidas būtų tiekiamas iš fluido įleidimo prievado (202) į kateterį, kraujagyslių prieigos prietaisą, adatą arba papildomą fluido kelią, o atliekų išleidimo prievadas (204) lieka sujungtas su skysčio įpurškimo sistemos (100) atliekų įleidimo prievadu (196).</w:t>
      </w:r>
    </w:p>
    <w:p w14:paraId="4713ADC1" w14:textId="77777777" w:rsidR="00C863FE" w:rsidRPr="00C863FE" w:rsidRDefault="00C863FE" w:rsidP="00C863FE">
      <w:pPr>
        <w:spacing w:after="0" w:line="360" w:lineRule="auto"/>
        <w:jc w:val="both"/>
        <w:rPr>
          <w:rFonts w:ascii="Helvetica" w:eastAsia="Times New Roman" w:hAnsi="Helvetica" w:cs="Arial"/>
          <w:sz w:val="20"/>
          <w:szCs w:val="24"/>
          <w:lang w:val="lt-LT"/>
        </w:rPr>
      </w:pPr>
    </w:p>
    <w:p w14:paraId="6CDAFFCF"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r w:rsidRPr="00C863FE">
        <w:rPr>
          <w:rStyle w:val="rynqvb"/>
          <w:rFonts w:ascii="Helvetica" w:hAnsi="Helvetica" w:cs="Arial"/>
          <w:sz w:val="20"/>
          <w:szCs w:val="24"/>
          <w:lang w:val="lt-LT"/>
        </w:rPr>
        <w:t xml:space="preserve">2. Medicininė jungtis (190) pagal 1 punktą, kur lanksti ąselė (216) turi prispaudžiamą paviršių (218), kuris, paspaudus, nukreipia lanksčią ąselę (216) iš įjungtos padėties į atjungtą padėtį. </w:t>
      </w:r>
    </w:p>
    <w:p w14:paraId="155D4197"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p>
    <w:p w14:paraId="289495BF"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r w:rsidRPr="00C863FE">
        <w:rPr>
          <w:rStyle w:val="rynqvb"/>
          <w:rFonts w:ascii="Helvetica" w:hAnsi="Helvetica" w:cs="Arial"/>
          <w:sz w:val="20"/>
          <w:szCs w:val="24"/>
          <w:lang w:val="lt-LT"/>
        </w:rPr>
        <w:t>3. Medicininė jungtis (190) pagal 1 punktą, kur skysčio įleidimo prievadas (202) apima gaubtą (220), supantį bent dalį fluido įleidimo prievado (202).</w:t>
      </w:r>
    </w:p>
    <w:p w14:paraId="55EC40E9" w14:textId="77777777" w:rsidR="00C863FE" w:rsidRPr="00C863FE" w:rsidRDefault="00C863FE" w:rsidP="00C863FE">
      <w:pPr>
        <w:spacing w:after="0" w:line="360" w:lineRule="auto"/>
        <w:ind w:firstLine="567"/>
        <w:jc w:val="both"/>
        <w:rPr>
          <w:rFonts w:ascii="Helvetica" w:hAnsi="Helvetica" w:cs="Arial"/>
          <w:b/>
          <w:bCs/>
          <w:color w:val="000000"/>
          <w:sz w:val="20"/>
          <w:szCs w:val="24"/>
          <w:lang w:val="lt-LT"/>
        </w:rPr>
      </w:pPr>
    </w:p>
    <w:p w14:paraId="67418971"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r w:rsidRPr="00C863FE">
        <w:rPr>
          <w:rStyle w:val="rynqvb"/>
          <w:rFonts w:ascii="Helvetica" w:hAnsi="Helvetica" w:cs="Arial"/>
          <w:sz w:val="20"/>
          <w:szCs w:val="24"/>
          <w:lang w:val="lt-LT"/>
        </w:rPr>
        <w:t xml:space="preserve">4. Medicininė jungtis (190) pagal 3 punktą, kur gaubtas (220) turi bent vieną įdubą (230), kad būtų lengviau valdyti medicininę jungtį (190), arba kur gaubtas (220) turi vieną ar daugiau kraštų (232), išsikišusių iš išorinio gaubto (220) paviršiaus. </w:t>
      </w:r>
    </w:p>
    <w:p w14:paraId="3380E408"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p>
    <w:p w14:paraId="584291B6"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r w:rsidRPr="00C863FE">
        <w:rPr>
          <w:rStyle w:val="rynqvb"/>
          <w:rFonts w:ascii="Helvetica" w:hAnsi="Helvetica" w:cs="Arial"/>
          <w:sz w:val="20"/>
          <w:szCs w:val="24"/>
          <w:lang w:val="lt-LT"/>
        </w:rPr>
        <w:t>5. Medicininė jungtis (190) pagal 1 punktą, kur fluido įleidimo prievadas (202) yra suformuotas taip, kad nebūtų prijungtas prie MUDS (130) atliekų įleidimo prievado (196), ir kur atliekų išleidimo prievadas (204) yra suformuotas</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neleisti, kad prisijungtų prie MUDS (130) prijungimo prievado (192).</w:t>
      </w:r>
    </w:p>
    <w:p w14:paraId="37FAA36C" w14:textId="77777777" w:rsidR="00C863FE" w:rsidRPr="00C863FE" w:rsidRDefault="00C863FE" w:rsidP="00C863FE">
      <w:pPr>
        <w:spacing w:after="0" w:line="360" w:lineRule="auto"/>
        <w:ind w:firstLine="567"/>
        <w:jc w:val="both"/>
        <w:rPr>
          <w:rFonts w:ascii="Helvetica" w:hAnsi="Helvetica" w:cs="Arial"/>
          <w:color w:val="000000"/>
          <w:sz w:val="20"/>
          <w:szCs w:val="24"/>
          <w:lang w:val="lt-LT"/>
        </w:rPr>
      </w:pPr>
    </w:p>
    <w:p w14:paraId="0CDCCEE8"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r w:rsidRPr="00C863FE">
        <w:rPr>
          <w:rStyle w:val="rynqvb"/>
          <w:rFonts w:ascii="Helvetica" w:hAnsi="Helvetica" w:cs="Arial"/>
          <w:sz w:val="20"/>
          <w:szCs w:val="24"/>
          <w:lang w:val="lt-LT"/>
        </w:rPr>
        <w:t>6. Medicininė jungtis (190) pagal 1 punktą, kur medicininė jungtis (190) yra asimetrinės formos, kad medicininė jungtis (190) būtų sujungtina su MUDS (130) tik viena kryptimi, kur geriausia, kai medicininė jungtis (190) papildomai apima bent vieną briauną (207), kad būtų išvengta klaidingo medicininės jungties (190) sujungimo su MUDS (130).</w:t>
      </w:r>
    </w:p>
    <w:p w14:paraId="60775A89" w14:textId="77777777" w:rsidR="00C863FE" w:rsidRPr="00C863FE" w:rsidRDefault="00C863FE" w:rsidP="00C863FE">
      <w:pPr>
        <w:spacing w:after="0" w:line="360" w:lineRule="auto"/>
        <w:ind w:firstLine="567"/>
        <w:jc w:val="both"/>
        <w:rPr>
          <w:rFonts w:ascii="Helvetica" w:hAnsi="Helvetica" w:cs="Arial"/>
          <w:sz w:val="20"/>
          <w:szCs w:val="24"/>
          <w:lang w:val="lt-LT"/>
        </w:rPr>
      </w:pPr>
    </w:p>
    <w:p w14:paraId="0DFA6151"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r w:rsidRPr="00C863FE">
        <w:rPr>
          <w:rStyle w:val="rynqvb"/>
          <w:rFonts w:ascii="Helvetica" w:hAnsi="Helvetica" w:cs="Arial"/>
          <w:sz w:val="20"/>
          <w:szCs w:val="24"/>
          <w:lang w:val="lt-LT"/>
        </w:rPr>
        <w:lastRenderedPageBreak/>
        <w:t>7. Medicininė jungtis (190) pagal 1 punktą, kur paciento fluido linijos (208) antrasis galas (212) ir paciento fluido linijos jungtis (214) yra sukonfigūruotos nuimamam sujungimui su atliekų išleidimo prievadu (204),</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 xml:space="preserve">išlaikant antrojo galo sterilumą (212). </w:t>
      </w:r>
    </w:p>
    <w:p w14:paraId="6FA92D1D"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p>
    <w:p w14:paraId="59741B65" w14:textId="77777777" w:rsidR="00C863FE" w:rsidRPr="00C863FE" w:rsidRDefault="00C863FE" w:rsidP="00C863FE">
      <w:pPr>
        <w:spacing w:after="0" w:line="360" w:lineRule="auto"/>
        <w:ind w:firstLine="567"/>
        <w:jc w:val="both"/>
        <w:rPr>
          <w:rStyle w:val="rynqvb"/>
          <w:rFonts w:ascii="Helvetica" w:hAnsi="Helvetica" w:cs="Arial"/>
          <w:sz w:val="20"/>
          <w:szCs w:val="24"/>
          <w:lang w:val="lt-LT"/>
        </w:rPr>
      </w:pPr>
      <w:r w:rsidRPr="00C863FE">
        <w:rPr>
          <w:rStyle w:val="rynqvb"/>
          <w:rFonts w:ascii="Helvetica" w:hAnsi="Helvetica" w:cs="Arial"/>
          <w:sz w:val="20"/>
          <w:szCs w:val="24"/>
          <w:lang w:val="lt-LT"/>
        </w:rPr>
        <w:t>8. Medicininė jungtis (190) pagal 7 punktą, kur paciento fluido linijos jungtis (214) yra fluido ryšyje su atliekų išleidimo prievadu (204), kai yra sujungta su atliekų išleidimo prievadu (204).</w:t>
      </w:r>
    </w:p>
    <w:p w14:paraId="2443A312" w14:textId="77777777" w:rsidR="00C863FE" w:rsidRPr="00C863FE" w:rsidRDefault="00C863FE" w:rsidP="00C863FE">
      <w:pPr>
        <w:spacing w:after="0" w:line="360" w:lineRule="auto"/>
        <w:ind w:firstLine="567"/>
        <w:jc w:val="both"/>
        <w:rPr>
          <w:rFonts w:ascii="Helvetica" w:hAnsi="Helvetica" w:cs="Arial"/>
          <w:b/>
          <w:bCs/>
          <w:color w:val="000000"/>
          <w:sz w:val="20"/>
          <w:szCs w:val="24"/>
          <w:lang w:val="lt-LT"/>
        </w:rPr>
      </w:pPr>
    </w:p>
    <w:p w14:paraId="564BC9A8" w14:textId="77777777" w:rsidR="00C863FE" w:rsidRPr="00C863FE" w:rsidRDefault="00C863FE" w:rsidP="00C863FE">
      <w:pPr>
        <w:spacing w:after="0" w:line="360" w:lineRule="auto"/>
        <w:ind w:firstLine="567"/>
        <w:jc w:val="both"/>
        <w:rPr>
          <w:rFonts w:ascii="Helvetica" w:hAnsi="Helvetica" w:cs="Arial"/>
          <w:b/>
          <w:bCs/>
          <w:color w:val="000000"/>
          <w:sz w:val="20"/>
          <w:szCs w:val="24"/>
          <w:lang w:val="lt-LT"/>
        </w:rPr>
      </w:pPr>
      <w:r w:rsidRPr="00C863FE">
        <w:rPr>
          <w:rFonts w:ascii="Helvetica" w:eastAsia="Times New Roman" w:hAnsi="Helvetica" w:cs="Arial"/>
          <w:sz w:val="20"/>
          <w:szCs w:val="24"/>
          <w:lang w:val="lt-LT"/>
        </w:rPr>
        <w:t xml:space="preserve">9. Medicininė jungtis (190) pagal 7 punktą, kur paciento fluido linijos jungtis (214) yra </w:t>
      </w:r>
      <w:proofErr w:type="spellStart"/>
      <w:r w:rsidRPr="00C863FE">
        <w:rPr>
          <w:rFonts w:ascii="Helvetica" w:eastAsia="Times New Roman" w:hAnsi="Helvetica" w:cs="Arial"/>
          <w:sz w:val="20"/>
          <w:szCs w:val="24"/>
          <w:lang w:val="lt-LT"/>
        </w:rPr>
        <w:t>Luer-lock</w:t>
      </w:r>
      <w:proofErr w:type="spellEnd"/>
      <w:r w:rsidRPr="00C863FE">
        <w:rPr>
          <w:rFonts w:ascii="Helvetica" w:eastAsia="Times New Roman" w:hAnsi="Helvetica" w:cs="Arial"/>
          <w:sz w:val="20"/>
          <w:szCs w:val="24"/>
          <w:lang w:val="lt-LT"/>
        </w:rPr>
        <w:t xml:space="preserve"> jungtis. </w:t>
      </w:r>
    </w:p>
    <w:p w14:paraId="34841550" w14:textId="77777777" w:rsidR="00C863FE" w:rsidRPr="00C863FE" w:rsidRDefault="00C863FE" w:rsidP="00C863FE">
      <w:pPr>
        <w:spacing w:after="0" w:line="360" w:lineRule="auto"/>
        <w:jc w:val="both"/>
        <w:rPr>
          <w:rFonts w:ascii="Helvetica" w:eastAsia="Times New Roman" w:hAnsi="Helvetica" w:cs="Arial"/>
          <w:sz w:val="20"/>
          <w:szCs w:val="24"/>
          <w:lang w:val="lt-LT"/>
        </w:rPr>
      </w:pPr>
      <w:r w:rsidRPr="00C863FE">
        <w:rPr>
          <w:rFonts w:ascii="Helvetica" w:eastAsia="Times New Roman" w:hAnsi="Helvetica" w:cs="Arial"/>
          <w:sz w:val="20"/>
          <w:szCs w:val="24"/>
          <w:lang w:val="lt-LT"/>
        </w:rPr>
        <w:t>10. Medicininė jungtis (190) pagal 1 punktą, papildomai apima vienos krypties vožtuvą (236), sukonfigūruotą palaikyti vienakryptį srautą per fluido įleidimo prievadą (202) į paciento fluido liniją (208).</w:t>
      </w:r>
    </w:p>
    <w:p w14:paraId="40A57852" w14:textId="77777777" w:rsidR="00C863FE" w:rsidRPr="00C863FE" w:rsidRDefault="00C863FE" w:rsidP="00C863FE">
      <w:pPr>
        <w:spacing w:after="0" w:line="360" w:lineRule="auto"/>
        <w:jc w:val="both"/>
        <w:rPr>
          <w:rFonts w:ascii="Helvetica" w:hAnsi="Helvetica" w:cs="Arial"/>
          <w:b/>
          <w:bCs/>
          <w:color w:val="000000"/>
          <w:sz w:val="20"/>
          <w:szCs w:val="24"/>
          <w:lang w:val="lt-LT"/>
        </w:rPr>
      </w:pPr>
    </w:p>
    <w:p w14:paraId="4A326B63" w14:textId="77777777" w:rsidR="00C863FE" w:rsidRPr="00C863FE" w:rsidRDefault="00C863FE" w:rsidP="00C863FE">
      <w:pPr>
        <w:spacing w:after="0" w:line="360" w:lineRule="auto"/>
        <w:ind w:firstLine="567"/>
        <w:jc w:val="both"/>
        <w:rPr>
          <w:rFonts w:ascii="Helvetica" w:eastAsia="Times New Roman" w:hAnsi="Helvetica" w:cs="Arial"/>
          <w:sz w:val="20"/>
          <w:szCs w:val="24"/>
          <w:lang w:val="lt-LT"/>
        </w:rPr>
      </w:pPr>
      <w:r w:rsidRPr="00C863FE">
        <w:rPr>
          <w:rFonts w:ascii="Helvetica" w:eastAsia="Times New Roman" w:hAnsi="Helvetica" w:cs="Arial"/>
          <w:sz w:val="20"/>
          <w:szCs w:val="24"/>
          <w:lang w:val="lt-LT"/>
        </w:rPr>
        <w:t>11. Medicininė jungtis (190) pagal 1 punktą, kur fluido įleidimo prievadas (202) turi bent vieną sandariklį (234), skirtą nepralaidžiam fluido ryšiui tarp fluido įleidimo prievado (202) ir sujungimo prievado (192) suformuoti.</w:t>
      </w:r>
    </w:p>
    <w:p w14:paraId="215DC846" w14:textId="77777777" w:rsidR="00C863FE" w:rsidRPr="00C863FE" w:rsidRDefault="00C863FE" w:rsidP="00C863FE">
      <w:pPr>
        <w:spacing w:after="0" w:line="360" w:lineRule="auto"/>
        <w:ind w:firstLine="567"/>
        <w:jc w:val="both"/>
        <w:rPr>
          <w:rFonts w:ascii="Helvetica" w:eastAsia="Times New Roman" w:hAnsi="Helvetica" w:cs="Arial"/>
          <w:sz w:val="20"/>
          <w:szCs w:val="24"/>
          <w:lang w:val="lt-LT"/>
        </w:rPr>
      </w:pPr>
    </w:p>
    <w:p w14:paraId="0B4EA031" w14:textId="77777777" w:rsidR="00C863FE" w:rsidRPr="00C863FE" w:rsidRDefault="00C863FE" w:rsidP="00C863FE">
      <w:pPr>
        <w:spacing w:after="0" w:line="360" w:lineRule="auto"/>
        <w:ind w:firstLine="567"/>
        <w:jc w:val="both"/>
        <w:rPr>
          <w:rFonts w:ascii="Helvetica" w:eastAsia="Times New Roman" w:hAnsi="Helvetica" w:cs="Arial"/>
          <w:sz w:val="20"/>
          <w:szCs w:val="24"/>
          <w:lang w:val="lt-LT"/>
        </w:rPr>
      </w:pPr>
      <w:r w:rsidRPr="00C863FE">
        <w:rPr>
          <w:rFonts w:ascii="Helvetica" w:eastAsia="Times New Roman" w:hAnsi="Helvetica" w:cs="Arial"/>
          <w:sz w:val="20"/>
          <w:szCs w:val="24"/>
          <w:lang w:val="lt-LT"/>
        </w:rPr>
        <w:t>12. Medicininė jungtis (190) pagal 1 punktą, dar apima: tarpiklį (206), besitęsiantį tarp fluido įleidimo prievado (202) ir atliekų išleidimo prievado (204), kur paciento fluido linija (208) apima paciento fluido linijos jungtį (214), prijungtą prie paciento fluido linijos (208) antrojo galo (212), ir kur paciento fluido linijos jungtis (214) yra sukonfigūruota pašalinamai fluido jungčiai su atliekų išleidimo prievadu (204), kad fluidas būtų tiekiamas pacientui.</w:t>
      </w:r>
    </w:p>
    <w:p w14:paraId="102D7299" w14:textId="77777777" w:rsidR="00C863FE" w:rsidRPr="00C863FE" w:rsidRDefault="00C863FE" w:rsidP="00C863FE">
      <w:pPr>
        <w:spacing w:after="0" w:line="360" w:lineRule="auto"/>
        <w:ind w:firstLine="567"/>
        <w:jc w:val="both"/>
        <w:rPr>
          <w:rFonts w:ascii="Helvetica" w:eastAsia="Times New Roman" w:hAnsi="Helvetica" w:cs="Arial"/>
          <w:sz w:val="20"/>
          <w:szCs w:val="24"/>
          <w:lang w:val="lt-LT"/>
        </w:rPr>
      </w:pPr>
    </w:p>
    <w:p w14:paraId="62642881" w14:textId="77777777" w:rsidR="00C863FE" w:rsidRPr="00C863FE" w:rsidRDefault="00C863FE" w:rsidP="00C863FE">
      <w:pPr>
        <w:spacing w:after="0" w:line="360" w:lineRule="auto"/>
        <w:ind w:firstLine="567"/>
        <w:jc w:val="both"/>
        <w:rPr>
          <w:rFonts w:ascii="Helvetica" w:hAnsi="Helvetica" w:cs="Arial"/>
          <w:color w:val="000000"/>
          <w:sz w:val="20"/>
          <w:szCs w:val="24"/>
          <w:lang w:val="lt-LT"/>
        </w:rPr>
      </w:pPr>
      <w:r w:rsidRPr="00C863FE">
        <w:rPr>
          <w:rStyle w:val="rynqvb"/>
          <w:rFonts w:ascii="Helvetica" w:hAnsi="Helvetica" w:cs="Arial"/>
          <w:sz w:val="20"/>
          <w:szCs w:val="24"/>
          <w:lang w:val="lt-LT"/>
        </w:rPr>
        <w:t>13. Būdas vienkartinio naudojimo vienkartinio rinkinio (VNVR – SUDS toliau angl.) jungties (190) automatiniam užpildymui, būdas apimantis: SUDS jungties (190) fluido įleidimo prievado (202) sujungimą fluidu su fluido įpurškimo sistemos (100) turinčios korpusą (102) prijungimo prievadu (192), o minėtas prijungimo prievadas (192) yra suformuotas ant daugkartinio naudojimo vienkartinio rinkinio (MUDS) (130), kuris yra nuimamai prijungtas prie fluido įpurškimo sistemos (100), kad būtų sukurtas skysčio ryšys tarp jų, tuo tarpu prijungimo prievadas (192) yra įleistas į angą, suformuotą ant korpuso (102);</w:t>
      </w:r>
    </w:p>
    <w:p w14:paraId="3772B940" w14:textId="77777777" w:rsidR="00C863FE" w:rsidRPr="00C863FE" w:rsidRDefault="00C863FE" w:rsidP="00C863FE">
      <w:pPr>
        <w:spacing w:after="0" w:line="360" w:lineRule="auto"/>
        <w:jc w:val="both"/>
        <w:rPr>
          <w:rStyle w:val="rynqvb"/>
          <w:rFonts w:ascii="Helvetica" w:hAnsi="Helvetica" w:cs="Arial"/>
          <w:sz w:val="20"/>
          <w:szCs w:val="24"/>
          <w:lang w:val="lt-LT"/>
        </w:rPr>
      </w:pPr>
      <w:r w:rsidRPr="00C863FE">
        <w:rPr>
          <w:rStyle w:val="rynqvb"/>
          <w:rFonts w:ascii="Helvetica" w:hAnsi="Helvetica" w:cs="Arial"/>
          <w:sz w:val="20"/>
          <w:szCs w:val="24"/>
          <w:lang w:val="lt-LT"/>
        </w:rPr>
        <w:t>fluido ryšio tarp SUDS jungties (190) atliekų išleidimo prievado (204) ir fluido įpurškimo sistemos (100) atliekų įleidimo prievado (196) nustatymą;</w:t>
      </w:r>
    </w:p>
    <w:p w14:paraId="31CE2883" w14:textId="5EA67001" w:rsidR="0018473C" w:rsidRPr="0060100F" w:rsidRDefault="00C863FE" w:rsidP="00C863FE">
      <w:pPr>
        <w:spacing w:after="0" w:line="360" w:lineRule="auto"/>
        <w:jc w:val="both"/>
        <w:rPr>
          <w:rFonts w:ascii="Helvetica" w:hAnsi="Helvetica" w:cs="Arial"/>
          <w:color w:val="000000"/>
          <w:sz w:val="20"/>
          <w:szCs w:val="24"/>
          <w:lang w:val="lt-LT"/>
        </w:rPr>
      </w:pPr>
      <w:r w:rsidRPr="00C863FE">
        <w:rPr>
          <w:rStyle w:val="rynqvb"/>
          <w:rFonts w:ascii="Helvetica" w:hAnsi="Helvetica" w:cs="Arial"/>
          <w:sz w:val="20"/>
          <w:szCs w:val="24"/>
          <w:lang w:val="lt-LT"/>
        </w:rPr>
        <w:t>nustatymą bent vienu jutikliu (242), įtaisytu ir pritvirtintu atitinkamame laikiklyje, suformuotame ant skysčio įpurškimo sistemos (100) korpuso (102), buvimą arba nebuvimą jutiklio briaunos (240), turinčios vieną ar daugiau atspindinčių paviršių, kurie reflektuoja</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matomą arba infraraudonąją šviesą, kurią turi aptikti bent vienas jutiklis (242), o minėta jutimo briauna (240) yra ant lanksčios ąselės (216) SUDS jungties (190), tai rodo, kad SUDS jungtis (190) yra</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fluidu sujungta su MUDS (130) jungties prievadu (192); jei jutiklio briaunos (240) buvimas yra aptinkamas bent vienu jutikliu (242), automatiškai pildoma SUDS jungties (190) fluido įpurškimo sistema (100), tiekiant fluidą iš fluido įleidimo prievado (202)</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į atliekų išleidimo prievadą (204) per paciento fluido liniją (208);</w:t>
      </w:r>
      <w:r w:rsidRPr="00C863FE">
        <w:rPr>
          <w:rStyle w:val="hwtze"/>
          <w:rFonts w:ascii="Helvetica" w:hAnsi="Helvetica" w:cs="Arial"/>
          <w:sz w:val="20"/>
          <w:szCs w:val="24"/>
          <w:lang w:val="lt-LT"/>
        </w:rPr>
        <w:t xml:space="preserve"> </w:t>
      </w:r>
      <w:r w:rsidRPr="00C863FE">
        <w:rPr>
          <w:rStyle w:val="rynqvb"/>
          <w:rFonts w:ascii="Helvetica" w:hAnsi="Helvetica" w:cs="Arial"/>
          <w:sz w:val="20"/>
          <w:szCs w:val="24"/>
          <w:lang w:val="lt-LT"/>
        </w:rPr>
        <w:t>ir paciento fluido linijos (208) galas (212) atjungiamas nuo atliekų išleidimo prievado (204), tuo tarpu atliekų išleidimo portalas (204) lieka sujungtas su MUDS (130) atliekų įleidimo portalu (196), kur geriau, kai</w:t>
      </w:r>
      <w:r w:rsidRPr="00C863FE">
        <w:rPr>
          <w:rStyle w:val="hwtze"/>
          <w:rFonts w:ascii="Helvetica" w:hAnsi="Helvetica" w:cs="Arial"/>
          <w:sz w:val="20"/>
          <w:szCs w:val="24"/>
          <w:lang w:val="lt-LT"/>
        </w:rPr>
        <w:t xml:space="preserve"> būdas papildomai</w:t>
      </w:r>
      <w:r w:rsidRPr="00C863FE">
        <w:rPr>
          <w:rStyle w:val="rynqvb"/>
          <w:rFonts w:ascii="Helvetica" w:hAnsi="Helvetica" w:cs="Arial"/>
          <w:sz w:val="20"/>
          <w:szCs w:val="24"/>
          <w:lang w:val="lt-LT"/>
        </w:rPr>
        <w:t xml:space="preserve"> apima SUDS jungties fiksavimą prie MUDS, prieš tai užpildant SUDS jungtį.</w:t>
      </w:r>
    </w:p>
    <w:sectPr w:rsidR="0018473C" w:rsidRPr="0060100F" w:rsidSect="00C863F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ED830" w14:textId="77777777" w:rsidR="00482C94" w:rsidRDefault="00482C94" w:rsidP="00C863FE">
      <w:pPr>
        <w:spacing w:after="0" w:line="240" w:lineRule="auto"/>
      </w:pPr>
      <w:r>
        <w:separator/>
      </w:r>
    </w:p>
  </w:endnote>
  <w:endnote w:type="continuationSeparator" w:id="0">
    <w:p w14:paraId="17607B49" w14:textId="77777777" w:rsidR="00482C94" w:rsidRDefault="00482C94" w:rsidP="00C86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A2385B" w14:textId="77777777" w:rsidR="00482C94" w:rsidRDefault="00482C94" w:rsidP="00C863FE">
      <w:pPr>
        <w:spacing w:after="0" w:line="240" w:lineRule="auto"/>
      </w:pPr>
      <w:r>
        <w:separator/>
      </w:r>
    </w:p>
  </w:footnote>
  <w:footnote w:type="continuationSeparator" w:id="0">
    <w:p w14:paraId="06EBF636" w14:textId="77777777" w:rsidR="00482C94" w:rsidRDefault="00482C94" w:rsidP="00C863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1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04DA"/>
    <w:rsid w:val="003215A7"/>
    <w:rsid w:val="003221D8"/>
    <w:rsid w:val="003315F6"/>
    <w:rsid w:val="0033564B"/>
    <w:rsid w:val="0036065D"/>
    <w:rsid w:val="003A00DC"/>
    <w:rsid w:val="003C2A5A"/>
    <w:rsid w:val="003C4F3F"/>
    <w:rsid w:val="00482C94"/>
    <w:rsid w:val="004859D0"/>
    <w:rsid w:val="004B1648"/>
    <w:rsid w:val="004B64B8"/>
    <w:rsid w:val="004F002F"/>
    <w:rsid w:val="00504F54"/>
    <w:rsid w:val="00511771"/>
    <w:rsid w:val="00536D9A"/>
    <w:rsid w:val="00550306"/>
    <w:rsid w:val="0056063D"/>
    <w:rsid w:val="005A2745"/>
    <w:rsid w:val="005E010A"/>
    <w:rsid w:val="0060100F"/>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10394"/>
    <w:rsid w:val="00C211B4"/>
    <w:rsid w:val="00C863FE"/>
    <w:rsid w:val="00CE2C39"/>
    <w:rsid w:val="00D47BE4"/>
    <w:rsid w:val="00D61739"/>
    <w:rsid w:val="00DC6934"/>
    <w:rsid w:val="00DE0809"/>
    <w:rsid w:val="00EE464B"/>
    <w:rsid w:val="00F20677"/>
    <w:rsid w:val="00F46F11"/>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EE2558"/>
  <w15:chartTrackingRefBased/>
  <w15:docId w15:val="{A65085D9-90C8-41D4-A9AC-7191D77E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63FE"/>
    <w:pPr>
      <w:spacing w:line="256" w:lineRule="auto"/>
    </w:pPr>
    <w:rPr>
      <w:lang w:val="en-US"/>
    </w:rPr>
  </w:style>
  <w:style w:type="paragraph" w:styleId="Antrat1">
    <w:name w:val="heading 1"/>
    <w:basedOn w:val="prastasis"/>
    <w:next w:val="prastasis"/>
    <w:link w:val="Antrat1Diagrama"/>
    <w:uiPriority w:val="9"/>
    <w:qFormat/>
    <w:rsid w:val="00F46F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F46F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F46F11"/>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F46F11"/>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F46F11"/>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F46F1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46F1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46F1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46F1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46F11"/>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F46F11"/>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F46F11"/>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F46F11"/>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F46F11"/>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F46F1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46F1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46F1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46F1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4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46F1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46F1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46F1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46F1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46F11"/>
    <w:rPr>
      <w:i/>
      <w:iCs/>
      <w:color w:val="404040" w:themeColor="text1" w:themeTint="BF"/>
    </w:rPr>
  </w:style>
  <w:style w:type="paragraph" w:styleId="Sraopastraipa">
    <w:name w:val="List Paragraph"/>
    <w:basedOn w:val="prastasis"/>
    <w:uiPriority w:val="34"/>
    <w:qFormat/>
    <w:rsid w:val="00F46F11"/>
    <w:pPr>
      <w:ind w:left="720"/>
      <w:contextualSpacing/>
    </w:pPr>
  </w:style>
  <w:style w:type="character" w:styleId="Rykuspabraukimas">
    <w:name w:val="Intense Emphasis"/>
    <w:basedOn w:val="Numatytasispastraiposriftas"/>
    <w:uiPriority w:val="21"/>
    <w:qFormat/>
    <w:rsid w:val="00F46F11"/>
    <w:rPr>
      <w:i/>
      <w:iCs/>
      <w:color w:val="365F91" w:themeColor="accent1" w:themeShade="BF"/>
    </w:rPr>
  </w:style>
  <w:style w:type="paragraph" w:styleId="Iskirtacitata">
    <w:name w:val="Intense Quote"/>
    <w:basedOn w:val="prastasis"/>
    <w:next w:val="prastasis"/>
    <w:link w:val="IskirtacitataDiagrama"/>
    <w:uiPriority w:val="30"/>
    <w:qFormat/>
    <w:rsid w:val="00F46F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F46F11"/>
    <w:rPr>
      <w:i/>
      <w:iCs/>
      <w:color w:val="365F91" w:themeColor="accent1" w:themeShade="BF"/>
    </w:rPr>
  </w:style>
  <w:style w:type="character" w:styleId="Rykinuoroda">
    <w:name w:val="Intense Reference"/>
    <w:basedOn w:val="Numatytasispastraiposriftas"/>
    <w:uiPriority w:val="32"/>
    <w:qFormat/>
    <w:rsid w:val="00F46F11"/>
    <w:rPr>
      <w:b/>
      <w:bCs/>
      <w:smallCaps/>
      <w:color w:val="365F91" w:themeColor="accent1" w:themeShade="BF"/>
      <w:spacing w:val="5"/>
    </w:rPr>
  </w:style>
  <w:style w:type="character" w:customStyle="1" w:styleId="rynqvb">
    <w:name w:val="rynqvb"/>
    <w:basedOn w:val="Numatytasispastraiposriftas"/>
    <w:rsid w:val="00C863FE"/>
  </w:style>
  <w:style w:type="character" w:customStyle="1" w:styleId="hwtze">
    <w:name w:val="hwtze"/>
    <w:basedOn w:val="Numatytasispastraiposriftas"/>
    <w:rsid w:val="00C863FE"/>
  </w:style>
  <w:style w:type="paragraph" w:styleId="Antrats">
    <w:name w:val="header"/>
    <w:basedOn w:val="prastasis"/>
    <w:link w:val="AntratsDiagrama"/>
    <w:uiPriority w:val="99"/>
    <w:unhideWhenUsed/>
    <w:rsid w:val="00C863F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863FE"/>
    <w:rPr>
      <w:lang w:val="en-US"/>
    </w:rPr>
  </w:style>
  <w:style w:type="paragraph" w:styleId="Porat">
    <w:name w:val="footer"/>
    <w:basedOn w:val="prastasis"/>
    <w:link w:val="PoratDiagrama"/>
    <w:uiPriority w:val="99"/>
    <w:unhideWhenUsed/>
    <w:rsid w:val="00C863F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863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970</Words>
  <Characters>6089</Characters>
  <Application>Microsoft Office Word</Application>
  <DocSecurity>0</DocSecurity>
  <Lines>86</Lines>
  <Paragraphs>22</Paragraphs>
  <ScaleCrop>false</ScaleCrop>
  <Company/>
  <LinksUpToDate>false</LinksUpToDate>
  <CharactersWithSpaces>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4</cp:revision>
  <dcterms:created xsi:type="dcterms:W3CDTF">2024-10-04T07:19:00Z</dcterms:created>
  <dcterms:modified xsi:type="dcterms:W3CDTF">2024-10-04T07:21:00Z</dcterms:modified>
</cp:coreProperties>
</file>