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A015" w14:textId="0C54F437" w:rsidR="000E041A" w:rsidRPr="00307B94" w:rsidRDefault="000B3CC9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0E041A" w:rsidRPr="00307B94">
        <w:rPr>
          <w:rFonts w:ascii="Helvetica" w:hAnsi="Helvetica" w:cs="Arial"/>
          <w:sz w:val="20"/>
          <w:szCs w:val="24"/>
          <w:lang w:val="lt-LT"/>
        </w:rPr>
        <w:t>Rekombinantinio</w:t>
      </w:r>
      <w:proofErr w:type="spellEnd"/>
      <w:r w:rsidR="000E041A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E041A" w:rsidRPr="00307B94">
        <w:rPr>
          <w:rFonts w:ascii="Helvetica" w:hAnsi="Helvetica" w:cs="Arial"/>
          <w:sz w:val="20"/>
          <w:szCs w:val="24"/>
          <w:lang w:val="lt-LT"/>
        </w:rPr>
        <w:t>adeno</w:t>
      </w:r>
      <w:proofErr w:type="spellEnd"/>
      <w:r w:rsidR="000E041A" w:rsidRPr="00307B94">
        <w:rPr>
          <w:rFonts w:ascii="Helvetica" w:hAnsi="Helvetica" w:cs="Arial"/>
          <w:sz w:val="20"/>
          <w:szCs w:val="24"/>
          <w:lang w:val="lt-LT"/>
        </w:rPr>
        <w:t>-asocijuoto viruso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) dalelė, skirta naudoti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taikant</w:t>
      </w:r>
      <w:r w:rsidR="00311523" w:rsidRPr="00307B94">
        <w:rPr>
          <w:rFonts w:ascii="Helvetica" w:hAnsi="Helvetica" w:cs="Arial"/>
          <w:sz w:val="20"/>
          <w:szCs w:val="24"/>
          <w:lang w:val="lt-LT"/>
        </w:rPr>
        <w:t xml:space="preserve"> žinduoliui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11523" w:rsidRPr="00307B94">
        <w:rPr>
          <w:rFonts w:ascii="Helvetica" w:hAnsi="Helvetica" w:cs="Arial"/>
          <w:sz w:val="20"/>
          <w:szCs w:val="24"/>
          <w:lang w:val="lt-LT"/>
        </w:rPr>
        <w:t>akių sutrikimo gydymo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bū</w:t>
      </w:r>
      <w:r w:rsidRPr="00307B94">
        <w:rPr>
          <w:rFonts w:ascii="Helvetica" w:hAnsi="Helvetica" w:cs="Arial"/>
          <w:sz w:val="20"/>
          <w:szCs w:val="24"/>
          <w:lang w:val="lt-LT"/>
        </w:rPr>
        <w:t>d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ą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, minėtas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bū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das apima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heterologinės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nukleorūgšties tiekimą į asmens akį, kur minėtas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bū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das apima minėtos </w:t>
      </w:r>
      <w:proofErr w:type="spellStart"/>
      <w:r w:rsidR="000E041A" w:rsidRPr="00307B94">
        <w:rPr>
          <w:rFonts w:ascii="Helvetica" w:hAnsi="Helvetica" w:cs="Arial"/>
          <w:sz w:val="20"/>
          <w:szCs w:val="24"/>
          <w:lang w:val="lt-LT"/>
        </w:rPr>
        <w:t>rekombinantinio</w:t>
      </w:r>
      <w:proofErr w:type="spellEnd"/>
      <w:r w:rsidR="000E041A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E041A" w:rsidRPr="00307B94">
        <w:rPr>
          <w:rFonts w:ascii="Helvetica" w:hAnsi="Helvetica" w:cs="Arial"/>
          <w:sz w:val="20"/>
          <w:szCs w:val="24"/>
          <w:lang w:val="lt-LT"/>
        </w:rPr>
        <w:t>adeno</w:t>
      </w:r>
      <w:proofErr w:type="spellEnd"/>
      <w:r w:rsidR="000E041A" w:rsidRPr="00307B94">
        <w:rPr>
          <w:rFonts w:ascii="Helvetica" w:hAnsi="Helvetica" w:cs="Arial"/>
          <w:sz w:val="20"/>
          <w:szCs w:val="24"/>
          <w:lang w:val="lt-LT"/>
        </w:rPr>
        <w:t>-asocijuoto viruso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) dalelės įvedimą į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asmens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subretin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, kur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dalelė apima </w:t>
      </w:r>
    </w:p>
    <w:p w14:paraId="2E808FBD" w14:textId="7FA54331" w:rsidR="000E041A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 xml:space="preserve">a)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rekombinantini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AAV</w:t>
      </w:r>
      <w:r w:rsidR="00311523" w:rsidRPr="00307B94">
        <w:rPr>
          <w:rFonts w:ascii="Helvetica" w:hAnsi="Helvetica" w:cs="Arial"/>
          <w:sz w:val="20"/>
          <w:szCs w:val="24"/>
          <w:lang w:val="lt-LT"/>
        </w:rPr>
        <w:t>2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(rAAV</w:t>
      </w:r>
      <w:r w:rsidR="00311523" w:rsidRPr="00307B94">
        <w:rPr>
          <w:rFonts w:ascii="Helvetica" w:hAnsi="Helvetica" w:cs="Arial"/>
          <w:sz w:val="20"/>
          <w:szCs w:val="24"/>
          <w:lang w:val="lt-LT"/>
        </w:rPr>
        <w:t>2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kapsid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ę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>, apiman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čią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AAV2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kapsidės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baltymus,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apimančius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vieną ar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ba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daugiau aminorūgščių pak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eitimų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vienoje ar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ba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daugiau pozicijų R484, R487, K527, K532, R585 ir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(</w:t>
      </w:r>
      <w:r w:rsidRPr="00307B94">
        <w:rPr>
          <w:rFonts w:ascii="Helvetica" w:hAnsi="Helvetica" w:cs="Arial"/>
          <w:sz w:val="20"/>
          <w:szCs w:val="24"/>
          <w:lang w:val="lt-LT"/>
        </w:rPr>
        <w:t>arba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)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R588,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 xml:space="preserve">pagal </w:t>
      </w:r>
      <w:r w:rsidRPr="00307B94">
        <w:rPr>
          <w:rFonts w:ascii="Helvetica" w:hAnsi="Helvetica" w:cs="Arial"/>
          <w:sz w:val="20"/>
          <w:szCs w:val="24"/>
          <w:lang w:val="lt-LT"/>
        </w:rPr>
        <w:t>numeracij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ą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pagrįst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ą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AAV2 numeracija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 xml:space="preserve"> VP1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6501C361" w14:textId="04F940ED" w:rsidR="000E041A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kur viena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s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iš </w:t>
      </w:r>
      <w:r w:rsidR="005C474A" w:rsidRPr="00307B94">
        <w:rPr>
          <w:rFonts w:ascii="Helvetica" w:hAnsi="Helvetica" w:cs="Arial"/>
          <w:sz w:val="20"/>
          <w:szCs w:val="24"/>
          <w:lang w:val="lt-LT"/>
        </w:rPr>
        <w:t>keleto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aminorūgščių pak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eitimų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167B09" w:rsidRPr="00307B94">
        <w:rPr>
          <w:rFonts w:ascii="Helvetica" w:hAnsi="Helvetica" w:cs="Arial"/>
          <w:sz w:val="20"/>
          <w:szCs w:val="24"/>
          <w:lang w:val="lt-LT"/>
        </w:rPr>
        <w:t>su hidrofobine aminorūgščių liekana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ir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6F348F05" w14:textId="0DC3EF56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kur viena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s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67B09" w:rsidRPr="00307B94">
        <w:rPr>
          <w:rFonts w:ascii="Helvetica" w:hAnsi="Helvetica" w:cs="Arial"/>
          <w:sz w:val="20"/>
          <w:szCs w:val="24"/>
          <w:lang w:val="lt-LT"/>
        </w:rPr>
        <w:t>arba daugiau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aminorūgščių 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 xml:space="preserve">pakeitimų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sumažina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dalelės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pris</w:t>
      </w:r>
      <w:r w:rsidR="000E041A" w:rsidRPr="00307B94">
        <w:rPr>
          <w:rFonts w:ascii="Helvetica" w:hAnsi="Helvetica" w:cs="Arial"/>
          <w:sz w:val="20"/>
          <w:szCs w:val="24"/>
          <w:lang w:val="lt-LT"/>
        </w:rPr>
        <w:t>irišmą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prie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heparano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sulfato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proteoglikano</w:t>
      </w:r>
      <w:proofErr w:type="spellEnd"/>
      <w:r w:rsidR="000E041A" w:rsidRPr="00307B94">
        <w:rPr>
          <w:rFonts w:ascii="Helvetica" w:hAnsi="Helvetica" w:cs="Arial"/>
          <w:sz w:val="20"/>
          <w:szCs w:val="24"/>
          <w:lang w:val="lt-LT"/>
        </w:rPr>
        <w:t>,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4E5FAB9A" w14:textId="5CC52FF6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 xml:space="preserve">b)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vektori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ų</w:t>
      </w:r>
      <w:r w:rsidRPr="00307B94">
        <w:rPr>
          <w:rFonts w:ascii="Helvetica" w:hAnsi="Helvetica" w:cs="Arial"/>
          <w:sz w:val="20"/>
          <w:szCs w:val="24"/>
          <w:lang w:val="lt-LT"/>
        </w:rPr>
        <w:t>, apimant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į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heterologinę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nukleorūgštį ir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vieną AAV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invertuotą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galinį pakartojimą.</w:t>
      </w:r>
    </w:p>
    <w:p w14:paraId="13681FC9" w14:textId="77777777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316B4A8" w14:textId="2CB42264" w:rsidR="000B3CC9" w:rsidRPr="00307B94" w:rsidRDefault="00311523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. Kompozicija, apimanti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rekombinantin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io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DB4F31" w:rsidRPr="00307B94">
        <w:rPr>
          <w:rFonts w:ascii="Helvetica" w:hAnsi="Helvetica" w:cs="Arial"/>
          <w:sz w:val="20"/>
          <w:szCs w:val="24"/>
          <w:lang w:val="lt-LT"/>
        </w:rPr>
        <w:t>adeno</w:t>
      </w:r>
      <w:proofErr w:type="spellEnd"/>
      <w:r w:rsidR="00DB4F31" w:rsidRPr="00307B94">
        <w:rPr>
          <w:rFonts w:ascii="Helvetica" w:hAnsi="Helvetica" w:cs="Arial"/>
          <w:sz w:val="20"/>
          <w:szCs w:val="24"/>
          <w:lang w:val="lt-LT"/>
        </w:rPr>
        <w:t>-asocijuoto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viruso (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) dalelę, skirta naudoti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asmens akių sutrikimo gydymo būd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ą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kur minėtas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bū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das apima minėtos kompozicijos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subretinalinį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pristatymą į asmens tinklainę, kur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dalelės apima</w:t>
      </w:r>
    </w:p>
    <w:p w14:paraId="7806DD4B" w14:textId="15981D37" w:rsidR="00DB4F31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a) rAAV</w:t>
      </w:r>
      <w:r w:rsidR="00311523" w:rsidRPr="00307B94">
        <w:rPr>
          <w:rFonts w:ascii="Helvetica" w:hAnsi="Helvetica" w:cs="Arial"/>
          <w:sz w:val="20"/>
          <w:szCs w:val="24"/>
          <w:lang w:val="lt-LT"/>
        </w:rPr>
        <w:t>2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kapsid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ę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>, apiman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čią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AAV2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kapsidės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baltymus,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apimančius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vieną ar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ba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daugiau aminorūgščių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 xml:space="preserve">pakeitimų </w:t>
      </w:r>
      <w:r w:rsidRPr="00307B94">
        <w:rPr>
          <w:rFonts w:ascii="Helvetica" w:hAnsi="Helvetica" w:cs="Arial"/>
          <w:sz w:val="20"/>
          <w:szCs w:val="24"/>
          <w:lang w:val="lt-LT"/>
        </w:rPr>
        <w:t>vienoje ar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ba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daugiau pozicijų R484, R487, K527, K532, R585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ir (arba)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R588,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pagal numeraciją pagrįstą AAV2 numeracija VP1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37AC8665" w14:textId="6CD0A648" w:rsidR="00DB4F31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bookmarkStart w:id="0" w:name="_Hlk75628321"/>
      <w:r w:rsidRPr="00307B94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 xml:space="preserve">vienas iš keleto aminorūgščių pakeitimų yra atliekamas </w:t>
      </w:r>
      <w:r w:rsidR="00167B09" w:rsidRPr="00307B94">
        <w:rPr>
          <w:rFonts w:ascii="Helvetica" w:hAnsi="Helvetica" w:cs="Arial"/>
          <w:sz w:val="20"/>
          <w:szCs w:val="24"/>
          <w:lang w:val="lt-LT"/>
        </w:rPr>
        <w:t>su hidrofobine aminorūgščių liekana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 xml:space="preserve">, ir </w:t>
      </w:r>
    </w:p>
    <w:p w14:paraId="791D82EB" w14:textId="2AB5397A" w:rsidR="000B3CC9" w:rsidRPr="00307B94" w:rsidRDefault="00DB4F31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 xml:space="preserve">kur vienas arba daugiau aminorūgščių pakeitimų sumažina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dalelės prisirišimą prie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heparano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sulfato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proteoglikano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>,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bookmarkEnd w:id="0"/>
    <w:p w14:paraId="7C34752B" w14:textId="4D4CD22B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 xml:space="preserve">b)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vektori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ų</w:t>
      </w:r>
      <w:r w:rsidRPr="00307B94">
        <w:rPr>
          <w:rFonts w:ascii="Helvetica" w:hAnsi="Helvetica" w:cs="Arial"/>
          <w:sz w:val="20"/>
          <w:szCs w:val="24"/>
          <w:lang w:val="lt-LT"/>
        </w:rPr>
        <w:t>, apimant</w:t>
      </w:r>
      <w:r w:rsidR="00DB4F31" w:rsidRPr="00307B94">
        <w:rPr>
          <w:rFonts w:ascii="Helvetica" w:hAnsi="Helvetica" w:cs="Arial"/>
          <w:sz w:val="20"/>
          <w:szCs w:val="24"/>
          <w:lang w:val="lt-LT"/>
        </w:rPr>
        <w:t>į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heterologinę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nukleorūgštį ir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vieną AAV galinį pakartojimą.</w:t>
      </w:r>
    </w:p>
    <w:p w14:paraId="5CBC419F" w14:textId="77777777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A885F1" w14:textId="36B7B4F7" w:rsidR="000B3CC9" w:rsidRPr="00307B94" w:rsidRDefault="00252562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.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1 punktą,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</w:t>
      </w:r>
      <w:r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punktą, kur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heterologinė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nukleorūgštis yra 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funkcionaliai prijungta prie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promotori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aus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>, tinkam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o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terapinio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522F93" w:rsidRPr="00307B94">
        <w:rPr>
          <w:rFonts w:ascii="Helvetica" w:hAnsi="Helvetica" w:cs="Arial"/>
          <w:sz w:val="20"/>
          <w:szCs w:val="24"/>
          <w:lang w:val="lt-LT"/>
        </w:rPr>
        <w:t xml:space="preserve"> raiškai,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arba terapinė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nukleorūgšti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e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s vienoje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daugiau tinklainės ląstelių tipų.</w:t>
      </w:r>
    </w:p>
    <w:p w14:paraId="6C09CF71" w14:textId="77777777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8C5DD0" w14:textId="4461E7DA" w:rsidR="000B3CC9" w:rsidRPr="00307B94" w:rsidRDefault="00252562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.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</w:t>
      </w:r>
      <w:r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punktą,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</w:t>
      </w:r>
      <w:r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punktą, kur tinklainės ląstelė yra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fotoreceptoriaus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ląstelė.</w:t>
      </w:r>
    </w:p>
    <w:p w14:paraId="1CCECB72" w14:textId="77777777" w:rsidR="000B3CC9" w:rsidRPr="00307B94" w:rsidRDefault="000B3CC9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1949CA" w14:textId="3CCA84D3" w:rsidR="000B3CC9" w:rsidRPr="00307B94" w:rsidRDefault="00252562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5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. Kompozicija, skirta naudoti pagal bet kurį iš </w:t>
      </w:r>
      <w:r w:rsidR="00BA6B07" w:rsidRPr="00307B94">
        <w:rPr>
          <w:rFonts w:ascii="Helvetica" w:hAnsi="Helvetica" w:cs="Arial"/>
          <w:sz w:val="20"/>
          <w:szCs w:val="24"/>
          <w:lang w:val="lt-LT"/>
        </w:rPr>
        <w:t>2 - 4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kur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heterologinė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nukleorūgštis 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naudojama 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 xml:space="preserve">žmogaus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akių sutrikimui gydyti, parinktam iš grupės susidedan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čios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iš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autosominės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recesyvinės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sunkios ankstyvos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ios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tinklainės degeneracijos (įgimta </w:t>
      </w:r>
      <w:proofErr w:type="spellStart"/>
      <w:r w:rsidR="00C63CEE" w:rsidRPr="00307B94">
        <w:rPr>
          <w:rFonts w:ascii="Helvetica" w:hAnsi="Helvetica" w:cs="Arial"/>
          <w:sz w:val="20"/>
          <w:szCs w:val="24"/>
          <w:lang w:val="lt-LT"/>
        </w:rPr>
        <w:t>Leberio</w:t>
      </w:r>
      <w:proofErr w:type="spellEnd"/>
      <w:r w:rsidR="00C63CEE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am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>au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rozė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), įgimtos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achromatopsijos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Stargardto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ligos, Besto ligos,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Do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>in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ligos, </w:t>
      </w:r>
      <w:proofErr w:type="spellStart"/>
      <w:r w:rsidR="00C63CEE" w:rsidRPr="00307B94">
        <w:rPr>
          <w:rFonts w:ascii="Helvetica" w:hAnsi="Helvetica" w:cs="Arial"/>
          <w:sz w:val="20"/>
          <w:szCs w:val="24"/>
          <w:lang w:val="lt-LT"/>
        </w:rPr>
        <w:t>kolbelių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distrofijos, pigmentinio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retinito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 xml:space="preserve">su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X 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 xml:space="preserve">chromosoma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susietos 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>tinklainės sluoksniavimosi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C63CEE" w:rsidRPr="00307B94">
        <w:rPr>
          <w:rFonts w:ascii="Helvetica" w:hAnsi="Helvetica" w:cs="Arial"/>
          <w:sz w:val="20"/>
          <w:szCs w:val="24"/>
          <w:lang w:val="lt-LT"/>
        </w:rPr>
        <w:t>Aš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erio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sindromo, su amžiumi susijusios geltonosios dėmės degeneracijos,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atrofin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>ės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63CEE" w:rsidRPr="00307B94">
        <w:rPr>
          <w:rFonts w:ascii="Helvetica" w:hAnsi="Helvetica" w:cs="Arial"/>
          <w:sz w:val="20"/>
          <w:szCs w:val="24"/>
          <w:lang w:val="lt-LT"/>
        </w:rPr>
        <w:t>su amžiumi susijusios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geltonosios dėmės degeneracij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neovaskulinė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AMD, diabetinė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makulopatij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proliferacinė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diabetinė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retinopatij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(PDR),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cistoidinė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geltonosios dėmės edem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, centrinė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serozinė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retinopatij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>, tinklainės atšok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imo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, akies vidaus uždegim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, glaukom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ir užpakalini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uveit</w:t>
      </w:r>
      <w:r w:rsidR="00DD45D7" w:rsidRPr="00307B94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</w:p>
    <w:p w14:paraId="77E6C076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DEF0BE" w14:textId="4A5E4ADE" w:rsidR="000B3CC9" w:rsidRPr="00307B94" w:rsidRDefault="005613B9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 ir 3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- 4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5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kur viena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s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daugiau aminorūgščių pak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eitimų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sumažina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dalelės </w:t>
      </w:r>
      <w:proofErr w:type="spellStart"/>
      <w:r w:rsidR="00AE6105" w:rsidRPr="00307B94">
        <w:rPr>
          <w:rFonts w:ascii="Helvetica" w:hAnsi="Helvetica" w:cs="Arial"/>
          <w:sz w:val="20"/>
          <w:szCs w:val="24"/>
          <w:lang w:val="lt-LT"/>
        </w:rPr>
        <w:t>prisirišmą</w:t>
      </w:r>
      <w:proofErr w:type="spellEnd"/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prie </w:t>
      </w:r>
      <w:proofErr w:type="spellStart"/>
      <w:r w:rsidR="00AE6105" w:rsidRPr="00307B94">
        <w:rPr>
          <w:rFonts w:ascii="Helvetica" w:hAnsi="Helvetica" w:cs="Arial"/>
          <w:sz w:val="20"/>
          <w:szCs w:val="24"/>
          <w:lang w:val="lt-LT"/>
        </w:rPr>
        <w:t>heparano</w:t>
      </w:r>
      <w:proofErr w:type="spellEnd"/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sulfato </w:t>
      </w:r>
      <w:proofErr w:type="spellStart"/>
      <w:r w:rsidR="00AE6105" w:rsidRPr="00307B94">
        <w:rPr>
          <w:rFonts w:ascii="Helvetica" w:hAnsi="Helvetica" w:cs="Arial"/>
          <w:sz w:val="20"/>
          <w:szCs w:val="24"/>
          <w:lang w:val="lt-LT"/>
        </w:rPr>
        <w:t>proteoglikano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apytikriai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10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%,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apytikriai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bent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25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%,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apytikriai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50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%,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apytikriai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bent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75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% arba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apytikriai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bent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100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%.</w:t>
      </w:r>
    </w:p>
    <w:p w14:paraId="3B5B7D92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946570" w14:textId="637ED152" w:rsidR="000B3CC9" w:rsidRPr="00307B94" w:rsidRDefault="000C247C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lastRenderedPageBreak/>
        <w:t>7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1, </w:t>
      </w:r>
      <w:r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, kur vienas arba daugiau aminorūgščių pakeitimų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apima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arginino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arba lizino liekan</w:t>
      </w:r>
      <w:r w:rsidR="006D2257" w:rsidRPr="00307B94">
        <w:rPr>
          <w:rFonts w:ascii="Helvetica" w:hAnsi="Helvetica" w:cs="Arial"/>
          <w:sz w:val="20"/>
          <w:szCs w:val="24"/>
          <w:lang w:val="lt-LT"/>
        </w:rPr>
        <w:t>os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pakeitimą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alanino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liekana.</w:t>
      </w:r>
    </w:p>
    <w:p w14:paraId="23992C1D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A6C20A0" w14:textId="3E58A6F6" w:rsidR="000B3CC9" w:rsidRPr="00307B94" w:rsidRDefault="000C247C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8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1, </w:t>
      </w:r>
      <w:r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7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7 punktų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,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kur vienas arba daugiau aminorūgščių pakeitimų apima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pak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eitimus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R484 ir R487 pozicijose arba R585 ir R588 pozicijose,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pagal numeraciją pagrįstą AAV2 numeracija VP1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</w:p>
    <w:p w14:paraId="763A6FDB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33B283" w14:textId="0D394ECE" w:rsidR="000B3CC9" w:rsidRPr="00307B94" w:rsidRDefault="000C247C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9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1, </w:t>
      </w:r>
      <w:r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8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8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, kur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AAV2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kapsidės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baltymai apima aminorūgščių pak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eitimus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R585A ir R588A,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pagal numeraciją pagrįstą AAV2 numeracija VP1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</w:p>
    <w:p w14:paraId="1459FD5E" w14:textId="5377FEE2" w:rsidR="00E54E3C" w:rsidRPr="00307B94" w:rsidRDefault="00E54E3C" w:rsidP="00307B94">
      <w:pPr>
        <w:tabs>
          <w:tab w:val="left" w:pos="1995"/>
        </w:tabs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D0BDAF" w14:textId="5ABF4309" w:rsidR="000B3CC9" w:rsidRPr="00307B94" w:rsidRDefault="000B3CC9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1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0</w:t>
      </w:r>
      <w:r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1,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4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9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C247C" w:rsidRPr="00307B94">
        <w:rPr>
          <w:rFonts w:ascii="Helvetica" w:hAnsi="Helvetica" w:cs="Arial"/>
          <w:sz w:val="20"/>
          <w:szCs w:val="24"/>
          <w:lang w:val="lt-LT"/>
        </w:rPr>
        <w:t>9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,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kur AAV2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kapsidės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baltymai apima aminorūgš</w:t>
      </w:r>
      <w:r w:rsidR="000E5E8D" w:rsidRPr="00307B94">
        <w:rPr>
          <w:rFonts w:ascii="Helvetica" w:hAnsi="Helvetica" w:cs="Arial"/>
          <w:sz w:val="20"/>
          <w:szCs w:val="24"/>
          <w:lang w:val="lt-LT"/>
        </w:rPr>
        <w:t>ties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pakeitim</w:t>
      </w:r>
      <w:r w:rsidR="000E5E8D" w:rsidRPr="00307B94">
        <w:rPr>
          <w:rFonts w:ascii="Helvetica" w:hAnsi="Helvetica" w:cs="Arial"/>
          <w:sz w:val="20"/>
          <w:szCs w:val="24"/>
          <w:lang w:val="lt-LT"/>
        </w:rPr>
        <w:t>ą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K532A, </w:t>
      </w:r>
      <w:r w:rsidR="00AE6105" w:rsidRPr="00307B94">
        <w:rPr>
          <w:rFonts w:ascii="Helvetica" w:hAnsi="Helvetica" w:cs="Arial"/>
          <w:sz w:val="20"/>
          <w:szCs w:val="24"/>
          <w:lang w:val="lt-LT"/>
        </w:rPr>
        <w:t>pagal numeraciją pagrįstą AAV2 numeracija VP1</w:t>
      </w:r>
      <w:r w:rsidRPr="00307B94">
        <w:rPr>
          <w:rFonts w:ascii="Helvetica" w:hAnsi="Helvetica" w:cs="Arial"/>
          <w:sz w:val="20"/>
          <w:szCs w:val="24"/>
          <w:lang w:val="lt-LT"/>
        </w:rPr>
        <w:t>.</w:t>
      </w:r>
    </w:p>
    <w:p w14:paraId="3D0B8CC8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7E30E65" w14:textId="55C73AA1" w:rsidR="000B3CC9" w:rsidRPr="00307B94" w:rsidRDefault="000B3CC9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1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>1</w:t>
      </w:r>
      <w:r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1, 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>–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>4 ir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F7AEE" w:rsidRPr="00307B94">
        <w:rPr>
          <w:rFonts w:ascii="Helvetica" w:hAnsi="Helvetica" w:cs="Arial"/>
          <w:sz w:val="20"/>
          <w:szCs w:val="24"/>
          <w:lang w:val="lt-LT"/>
        </w:rPr>
        <w:t>10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="002C5795"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10 punktų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,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kur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dalelė apima vieną</w:t>
      </w:r>
      <w:r w:rsidR="00522F93" w:rsidRPr="00307B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daugiau AAV2 </w:t>
      </w:r>
      <w:proofErr w:type="spellStart"/>
      <w:r w:rsidRPr="00307B94">
        <w:rPr>
          <w:rFonts w:ascii="Helvetica" w:hAnsi="Helvetica" w:cs="Arial"/>
          <w:sz w:val="20"/>
          <w:szCs w:val="24"/>
          <w:lang w:val="lt-LT"/>
        </w:rPr>
        <w:t>kapsidės</w:t>
      </w:r>
      <w:proofErr w:type="spellEnd"/>
      <w:r w:rsidRPr="00307B94">
        <w:rPr>
          <w:rFonts w:ascii="Helvetica" w:hAnsi="Helvetica" w:cs="Arial"/>
          <w:sz w:val="20"/>
          <w:szCs w:val="24"/>
          <w:lang w:val="lt-LT"/>
        </w:rPr>
        <w:t xml:space="preserve"> baltymų, turinčių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apie 90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%,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apie 91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%, bent apie 92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%,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apie 93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%, bent apie 94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%, </w:t>
      </w:r>
      <w:r w:rsidR="0037309F" w:rsidRPr="00307B94">
        <w:rPr>
          <w:rFonts w:ascii="Helvetica" w:hAnsi="Helvetica" w:cs="Arial"/>
          <w:sz w:val="20"/>
          <w:szCs w:val="24"/>
          <w:lang w:val="lt-LT"/>
        </w:rPr>
        <w:t>bent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apie 95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%, bent apie 96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%, bent apie 97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%, bent apie 98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%, bent apie 99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>% arba 100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% sekos tapatumą 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sekoms </w:t>
      </w:r>
      <w:r w:rsidRPr="00307B94">
        <w:rPr>
          <w:rFonts w:ascii="Helvetica" w:hAnsi="Helvetica" w:cs="Arial"/>
          <w:sz w:val="20"/>
          <w:szCs w:val="24"/>
          <w:lang w:val="lt-LT"/>
        </w:rPr>
        <w:t>SEQ ID N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r.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2, 4 arba 6.</w:t>
      </w:r>
    </w:p>
    <w:p w14:paraId="5E0B8854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65BE1A" w14:textId="2CF660C1" w:rsidR="000B3CC9" w:rsidRPr="00307B94" w:rsidRDefault="002C5795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12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1, </w:t>
      </w:r>
      <w:r w:rsidR="00A44D76" w:rsidRPr="00307B94">
        <w:rPr>
          <w:rFonts w:ascii="Helvetica" w:hAnsi="Helvetica" w:cs="Arial"/>
          <w:sz w:val="20"/>
          <w:szCs w:val="24"/>
          <w:lang w:val="lt-LT"/>
        </w:rPr>
        <w:t>3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4D76" w:rsidRPr="00307B94">
        <w:rPr>
          <w:rFonts w:ascii="Helvetica" w:hAnsi="Helvetica" w:cs="Arial"/>
          <w:sz w:val="20"/>
          <w:szCs w:val="24"/>
          <w:lang w:val="lt-LT"/>
        </w:rPr>
        <w:t>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44D76" w:rsidRPr="00307B94">
        <w:rPr>
          <w:rFonts w:ascii="Helvetica" w:hAnsi="Helvetica" w:cs="Arial"/>
          <w:sz w:val="20"/>
          <w:szCs w:val="24"/>
          <w:lang w:val="lt-LT"/>
        </w:rPr>
        <w:t>6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1</w:t>
      </w:r>
      <w:r w:rsidR="00A44D76" w:rsidRPr="00307B94">
        <w:rPr>
          <w:rFonts w:ascii="Helvetica" w:hAnsi="Helvetica" w:cs="Arial"/>
          <w:sz w:val="20"/>
          <w:szCs w:val="24"/>
          <w:lang w:val="lt-LT"/>
        </w:rPr>
        <w:t>1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punktų, </w:t>
      </w:r>
      <w:r w:rsidR="00A44D76"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="00A44D76" w:rsidRPr="00307B94">
        <w:rPr>
          <w:rFonts w:ascii="Helvetica" w:hAnsi="Helvetica" w:cs="Arial"/>
          <w:sz w:val="20"/>
          <w:szCs w:val="24"/>
          <w:lang w:val="lt-LT"/>
        </w:rPr>
        <w:t>2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-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1</w:t>
      </w:r>
      <w:r w:rsidR="001F7AEE" w:rsidRPr="00307B94">
        <w:rPr>
          <w:rFonts w:ascii="Helvetica" w:hAnsi="Helvetica" w:cs="Arial"/>
          <w:sz w:val="20"/>
          <w:szCs w:val="24"/>
          <w:lang w:val="lt-LT"/>
        </w:rPr>
        <w:t>1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,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kur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heterologinė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nukleorūgštis koduoja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polipeptidą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parinktą iš grupės, susidedančios iš antioksidanto,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neurotrofinio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faktoriaus,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antiapoptozinio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faktoriaus,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antiangiogenini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faktori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a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us ir priešuždegimini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o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faktori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a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us.</w:t>
      </w:r>
    </w:p>
    <w:p w14:paraId="741FD0BA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5ED955" w14:textId="7306586F" w:rsidR="000B3CC9" w:rsidRPr="00307B94" w:rsidRDefault="00A44D76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13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1, 3 - 4 ir 6 - 11 punktų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2 - 11 punktų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kur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heterologinė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nukleorūgštis koduoja terapinę nukleorūgštį.</w:t>
      </w:r>
    </w:p>
    <w:p w14:paraId="7A271319" w14:textId="77777777" w:rsidR="00E54E3C" w:rsidRPr="00307B94" w:rsidRDefault="00E54E3C" w:rsidP="00307B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3CF633" w14:textId="6FEB9C3B" w:rsidR="00B06F58" w:rsidRPr="00307B94" w:rsidRDefault="00A44D76" w:rsidP="00307B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07B94">
        <w:rPr>
          <w:rFonts w:ascii="Helvetica" w:hAnsi="Helvetica" w:cs="Arial"/>
          <w:sz w:val="20"/>
          <w:szCs w:val="24"/>
          <w:lang w:val="lt-LT"/>
        </w:rPr>
        <w:t>14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.</w:t>
      </w:r>
      <w:r w:rsidR="00E54E3C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dalelė,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1, 3 - 4 ir 6 - 13 punktų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kompozicija, skirta naudoti pagal bet kurį iš </w:t>
      </w:r>
      <w:r w:rsidRPr="00307B94">
        <w:rPr>
          <w:rFonts w:ascii="Helvetica" w:hAnsi="Helvetica" w:cs="Arial"/>
          <w:sz w:val="20"/>
          <w:szCs w:val="24"/>
          <w:lang w:val="lt-LT"/>
        </w:rPr>
        <w:t>2 – 1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3</w:t>
      </w:r>
      <w:r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>punktų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,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kur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vektorius yra </w:t>
      </w:r>
      <w:r w:rsidR="002A554B" w:rsidRPr="00307B94">
        <w:rPr>
          <w:rFonts w:ascii="Helvetica" w:hAnsi="Helvetica" w:cs="Arial"/>
          <w:sz w:val="20"/>
          <w:szCs w:val="24"/>
          <w:lang w:val="lt-LT"/>
        </w:rPr>
        <w:t>pats sau</w:t>
      </w:r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komplementarus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B3CC9" w:rsidRPr="00307B94">
        <w:rPr>
          <w:rFonts w:ascii="Helvetica" w:hAnsi="Helvetica" w:cs="Arial"/>
          <w:sz w:val="20"/>
          <w:szCs w:val="24"/>
          <w:lang w:val="lt-LT"/>
        </w:rPr>
        <w:t>rAAV</w:t>
      </w:r>
      <w:proofErr w:type="spellEnd"/>
      <w:r w:rsidR="000B3CC9" w:rsidRPr="00307B94">
        <w:rPr>
          <w:rFonts w:ascii="Helvetica" w:hAnsi="Helvetica" w:cs="Arial"/>
          <w:sz w:val="20"/>
          <w:szCs w:val="24"/>
          <w:lang w:val="lt-LT"/>
        </w:rPr>
        <w:t xml:space="preserve"> vektorius.</w:t>
      </w:r>
    </w:p>
    <w:sectPr w:rsidR="00B06F58" w:rsidRPr="00307B94" w:rsidSect="00307B9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8A80" w14:textId="77777777" w:rsidR="00805F06" w:rsidRDefault="00805F06" w:rsidP="001A1581">
      <w:pPr>
        <w:spacing w:after="0" w:line="240" w:lineRule="auto"/>
      </w:pPr>
      <w:r>
        <w:separator/>
      </w:r>
    </w:p>
  </w:endnote>
  <w:endnote w:type="continuationSeparator" w:id="0">
    <w:p w14:paraId="3D956D1D" w14:textId="77777777" w:rsidR="00805F06" w:rsidRDefault="00805F06" w:rsidP="001A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5166" w14:textId="77777777" w:rsidR="00805F06" w:rsidRDefault="00805F06" w:rsidP="001A1581">
      <w:pPr>
        <w:spacing w:after="0" w:line="240" w:lineRule="auto"/>
      </w:pPr>
      <w:r>
        <w:separator/>
      </w:r>
    </w:p>
  </w:footnote>
  <w:footnote w:type="continuationSeparator" w:id="0">
    <w:p w14:paraId="054019F3" w14:textId="77777777" w:rsidR="00805F06" w:rsidRDefault="00805F06" w:rsidP="001A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9F56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138629117" o:spid="_x0000_i1025" type="#_x0000_t75" style="width:49.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23367BBA" wp14:editId="7C35415E">
            <wp:extent cx="628650" cy="381000"/>
            <wp:effectExtent l="0" t="0" r="0" b="0"/>
            <wp:docPr id="1138629117" name="Paveikslėlis 113862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944AF"/>
    <w:multiLevelType w:val="multilevel"/>
    <w:tmpl w:val="812AB99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93867"/>
    <w:multiLevelType w:val="multilevel"/>
    <w:tmpl w:val="2746F7CE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965DD"/>
    <w:multiLevelType w:val="multilevel"/>
    <w:tmpl w:val="3384B37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737DA"/>
    <w:multiLevelType w:val="multilevel"/>
    <w:tmpl w:val="CDB67E1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61E50"/>
    <w:multiLevelType w:val="multilevel"/>
    <w:tmpl w:val="4B22AC3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F055A"/>
    <w:multiLevelType w:val="multilevel"/>
    <w:tmpl w:val="FA8454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3856792">
    <w:abstractNumId w:val="2"/>
  </w:num>
  <w:num w:numId="2" w16cid:durableId="1418594726">
    <w:abstractNumId w:val="5"/>
  </w:num>
  <w:num w:numId="3" w16cid:durableId="1832789439">
    <w:abstractNumId w:val="3"/>
  </w:num>
  <w:num w:numId="4" w16cid:durableId="1936327764">
    <w:abstractNumId w:val="4"/>
  </w:num>
  <w:num w:numId="5" w16cid:durableId="104230095">
    <w:abstractNumId w:val="0"/>
  </w:num>
  <w:num w:numId="6" w16cid:durableId="142090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hideSpelling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NzYxNzExNjEztjRQ0lEKTi0uzszPAykwrAUA6pZfqywAAAA="/>
  </w:docVars>
  <w:rsids>
    <w:rsidRoot w:val="00ED4E0F"/>
    <w:rsid w:val="00000C68"/>
    <w:rsid w:val="000718F0"/>
    <w:rsid w:val="000B3CC9"/>
    <w:rsid w:val="000C247C"/>
    <w:rsid w:val="000E041A"/>
    <w:rsid w:val="000E2492"/>
    <w:rsid w:val="000E5E8D"/>
    <w:rsid w:val="000E70E1"/>
    <w:rsid w:val="00156516"/>
    <w:rsid w:val="00160AF4"/>
    <w:rsid w:val="00167B09"/>
    <w:rsid w:val="001A1581"/>
    <w:rsid w:val="001C422B"/>
    <w:rsid w:val="001D16A4"/>
    <w:rsid w:val="001D442F"/>
    <w:rsid w:val="001E358F"/>
    <w:rsid w:val="001F53AC"/>
    <w:rsid w:val="001F7AEE"/>
    <w:rsid w:val="00201DB6"/>
    <w:rsid w:val="0023677A"/>
    <w:rsid w:val="00252562"/>
    <w:rsid w:val="00266F5C"/>
    <w:rsid w:val="00271496"/>
    <w:rsid w:val="0028218B"/>
    <w:rsid w:val="002A554B"/>
    <w:rsid w:val="002C5795"/>
    <w:rsid w:val="002D30BE"/>
    <w:rsid w:val="002D5F9B"/>
    <w:rsid w:val="00307B94"/>
    <w:rsid w:val="00311523"/>
    <w:rsid w:val="003206FF"/>
    <w:rsid w:val="00355760"/>
    <w:rsid w:val="0037309F"/>
    <w:rsid w:val="003759A6"/>
    <w:rsid w:val="003C1C2F"/>
    <w:rsid w:val="004050F7"/>
    <w:rsid w:val="00452252"/>
    <w:rsid w:val="004815DC"/>
    <w:rsid w:val="004F6B23"/>
    <w:rsid w:val="0050166D"/>
    <w:rsid w:val="005157B1"/>
    <w:rsid w:val="00522F93"/>
    <w:rsid w:val="005613B9"/>
    <w:rsid w:val="00563284"/>
    <w:rsid w:val="005A7E9F"/>
    <w:rsid w:val="005C474A"/>
    <w:rsid w:val="005D0CB1"/>
    <w:rsid w:val="00632D2D"/>
    <w:rsid w:val="00654430"/>
    <w:rsid w:val="00693800"/>
    <w:rsid w:val="006D03C7"/>
    <w:rsid w:val="006D2257"/>
    <w:rsid w:val="006F4F30"/>
    <w:rsid w:val="006F4F4C"/>
    <w:rsid w:val="00770363"/>
    <w:rsid w:val="007D298E"/>
    <w:rsid w:val="00805F06"/>
    <w:rsid w:val="00834939"/>
    <w:rsid w:val="00834C69"/>
    <w:rsid w:val="00836E3C"/>
    <w:rsid w:val="008517FA"/>
    <w:rsid w:val="0085435A"/>
    <w:rsid w:val="008833BE"/>
    <w:rsid w:val="00897FBE"/>
    <w:rsid w:val="009B76A2"/>
    <w:rsid w:val="009C3769"/>
    <w:rsid w:val="009E1066"/>
    <w:rsid w:val="00A44D76"/>
    <w:rsid w:val="00AA4556"/>
    <w:rsid w:val="00AB06BF"/>
    <w:rsid w:val="00AE6105"/>
    <w:rsid w:val="00B06F58"/>
    <w:rsid w:val="00B175CE"/>
    <w:rsid w:val="00B51A42"/>
    <w:rsid w:val="00B66484"/>
    <w:rsid w:val="00B83E88"/>
    <w:rsid w:val="00BA2556"/>
    <w:rsid w:val="00BA6B07"/>
    <w:rsid w:val="00C06727"/>
    <w:rsid w:val="00C62A0C"/>
    <w:rsid w:val="00C63CEE"/>
    <w:rsid w:val="00D37E85"/>
    <w:rsid w:val="00D84E76"/>
    <w:rsid w:val="00DB4F31"/>
    <w:rsid w:val="00DD45D7"/>
    <w:rsid w:val="00E001C0"/>
    <w:rsid w:val="00E26939"/>
    <w:rsid w:val="00E54E3C"/>
    <w:rsid w:val="00E555CD"/>
    <w:rsid w:val="00E7694D"/>
    <w:rsid w:val="00E832F2"/>
    <w:rsid w:val="00E924E6"/>
    <w:rsid w:val="00E95C09"/>
    <w:rsid w:val="00ED4E0F"/>
    <w:rsid w:val="00F10328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5B01B"/>
  <w15:chartTrackingRefBased/>
  <w15:docId w15:val="{35745313-2753-49FD-8458-44FF948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A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1581"/>
  </w:style>
  <w:style w:type="paragraph" w:styleId="Porat">
    <w:name w:val="footer"/>
    <w:basedOn w:val="prastasis"/>
    <w:link w:val="PoratDiagrama"/>
    <w:uiPriority w:val="99"/>
    <w:unhideWhenUsed/>
    <w:rsid w:val="001A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1581"/>
  </w:style>
  <w:style w:type="character" w:customStyle="1" w:styleId="Bodytext2">
    <w:name w:val="Body text (2)_"/>
    <w:basedOn w:val="Numatytasispastraiposriftas"/>
    <w:link w:val="Bodytext20"/>
    <w:rsid w:val="002D30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Italic">
    <w:name w:val="Body text (2) + Italic"/>
    <w:basedOn w:val="Bodytext2"/>
    <w:rsid w:val="002D30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prastasis"/>
    <w:link w:val="Bodytext2"/>
    <w:rsid w:val="002D30BE"/>
    <w:pPr>
      <w:widowControl w:val="0"/>
      <w:shd w:val="clear" w:color="auto" w:fill="FFFFFF"/>
      <w:spacing w:before="260" w:after="120" w:line="403" w:lineRule="exact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2D3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Georgia105pt">
    <w:name w:val="Body text (2) + Georgia;10.5 pt"/>
    <w:basedOn w:val="Bodytext2"/>
    <w:rsid w:val="002D30B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table" w:styleId="Lentelstinklelis">
    <w:name w:val="Table Grid"/>
    <w:basedOn w:val="prastojilentel"/>
    <w:uiPriority w:val="39"/>
    <w:rsid w:val="0085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4751</Characters>
  <Application>Microsoft Office Word</Application>
  <DocSecurity>0</DocSecurity>
  <Lines>81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2025-05-19T06:14:00Z</dcterms:created>
  <dcterms:modified xsi:type="dcterms:W3CDTF">2025-05-22T08:06:00Z</dcterms:modified>
</cp:coreProperties>
</file>