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C2EB"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1. Junginio kristalinė p-toluensulfonrūgšties druska, kur druska pasižymi XRPD modeliu, turinčiu vieną arba daugiau smailių, parinktų iš 5,0, 10,1, 22,1 ir 24,5 ± 0,2 ° 2Θ, matuojant X'PertPRO MPD difraktometru su Cu CFF Rentgeno spinduliuotės vamzdeliu; ir kur kristalinės druskos dalelių pasiskirstymas d(0,9) yra nuo 5 iki 50 µm.</w:t>
      </w:r>
    </w:p>
    <w:p w14:paraId="7061B2FF" w14:textId="77777777" w:rsidR="00273062" w:rsidRPr="00273062" w:rsidRDefault="00273062" w:rsidP="00273062">
      <w:pPr>
        <w:spacing w:line="360" w:lineRule="auto"/>
        <w:jc w:val="center"/>
        <w:rPr>
          <w:rFonts w:ascii="Helvetica" w:hAnsi="Helvetica" w:cs="Helvetica"/>
          <w:szCs w:val="24"/>
        </w:rPr>
      </w:pPr>
      <w:r w:rsidRPr="00273062">
        <w:rPr>
          <w:rFonts w:ascii="Helvetica" w:hAnsi="Helvetica" w:cs="Helvetica"/>
          <w:noProof/>
          <w:lang w:eastAsia="lt-LT"/>
        </w:rPr>
        <w:drawing>
          <wp:inline distT="0" distB="0" distL="0" distR="0" wp14:anchorId="3A603383" wp14:editId="1273D81B">
            <wp:extent cx="1581150" cy="2371725"/>
            <wp:effectExtent l="0" t="0" r="0" b="9525"/>
            <wp:docPr id="1" name="Picture 1" descr="https://data.epo.org/publication-server/image?imageName=imgb0004&amp;docId=657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ta.epo.org/publication-server/image?imageName=imgb0004&amp;docId=6577475"/>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81150" cy="2371725"/>
                    </a:xfrm>
                    <a:prstGeom prst="rect">
                      <a:avLst/>
                    </a:prstGeom>
                    <a:noFill/>
                    <a:ln>
                      <a:noFill/>
                    </a:ln>
                  </pic:spPr>
                </pic:pic>
              </a:graphicData>
            </a:graphic>
          </wp:inline>
        </w:drawing>
      </w:r>
    </w:p>
    <w:p w14:paraId="6F1CC3C4" w14:textId="77777777" w:rsidR="00273062" w:rsidRPr="00273062" w:rsidRDefault="00273062" w:rsidP="00273062">
      <w:pPr>
        <w:spacing w:line="360" w:lineRule="auto"/>
        <w:jc w:val="both"/>
        <w:rPr>
          <w:rFonts w:ascii="Helvetica" w:hAnsi="Helvetica" w:cs="Helvetica"/>
          <w:szCs w:val="24"/>
        </w:rPr>
      </w:pPr>
    </w:p>
    <w:p w14:paraId="3D8F1C08"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2. Druska pagal 1 punktą, kur druskos d(0,5) yra nuo 1 iki 10 µm. </w:t>
      </w:r>
    </w:p>
    <w:p w14:paraId="3633330D" w14:textId="77777777" w:rsidR="00273062" w:rsidRPr="00273062" w:rsidRDefault="00273062" w:rsidP="00273062">
      <w:pPr>
        <w:spacing w:line="360" w:lineRule="auto"/>
        <w:jc w:val="both"/>
        <w:rPr>
          <w:rFonts w:ascii="Helvetica" w:hAnsi="Helvetica" w:cs="Helvetica"/>
          <w:szCs w:val="24"/>
        </w:rPr>
      </w:pPr>
    </w:p>
    <w:p w14:paraId="653A52E3"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3. Druska pagal 1 arba 2 punktą, kur druskos d(0,5) yra nuo 2 iki 5 µm. </w:t>
      </w:r>
    </w:p>
    <w:p w14:paraId="098AAE27" w14:textId="77777777" w:rsidR="00273062" w:rsidRPr="00273062" w:rsidRDefault="00273062" w:rsidP="00273062">
      <w:pPr>
        <w:spacing w:line="360" w:lineRule="auto"/>
        <w:jc w:val="both"/>
        <w:rPr>
          <w:rFonts w:ascii="Helvetica" w:hAnsi="Helvetica" w:cs="Helvetica"/>
          <w:szCs w:val="24"/>
        </w:rPr>
      </w:pPr>
    </w:p>
    <w:p w14:paraId="2847BFEC"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4. Druska pagal bet kurį iš 1-3 punktų, kur druskos d(0,9) yra nuo 5 iki 25 µm arba nuo 5 iki 15 µm. </w:t>
      </w:r>
    </w:p>
    <w:p w14:paraId="639A8B96" w14:textId="77777777" w:rsidR="00273062" w:rsidRPr="00273062" w:rsidRDefault="00273062" w:rsidP="00273062">
      <w:pPr>
        <w:spacing w:line="360" w:lineRule="auto"/>
        <w:jc w:val="both"/>
        <w:rPr>
          <w:rFonts w:ascii="Helvetica" w:hAnsi="Helvetica" w:cs="Helvetica"/>
          <w:szCs w:val="24"/>
        </w:rPr>
      </w:pPr>
    </w:p>
    <w:p w14:paraId="3AE9E4F1"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5. Druska pagal bet kurį iš 1-4 punktų, kur druskos d(0,1) yra nuo 0,5 iki 1,5 µm arba nuo 0,5 iki 1,0 µm. </w:t>
      </w:r>
    </w:p>
    <w:p w14:paraId="3A00B729" w14:textId="77777777" w:rsidR="00273062" w:rsidRPr="00273062" w:rsidRDefault="00273062" w:rsidP="00273062">
      <w:pPr>
        <w:spacing w:line="360" w:lineRule="auto"/>
        <w:jc w:val="both"/>
        <w:rPr>
          <w:rFonts w:ascii="Helvetica" w:hAnsi="Helvetica" w:cs="Helvetica"/>
          <w:szCs w:val="24"/>
        </w:rPr>
      </w:pPr>
    </w:p>
    <w:p w14:paraId="487F6FEB"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6. Druska pagal bet kurį iš 1-5 punktų, kur druska turi diferencinį nuskaitymo kalorimetro (DSC) modelį su būdinga endotermine smaile 146 ° C temperatūroje. </w:t>
      </w:r>
    </w:p>
    <w:p w14:paraId="5BF563E9" w14:textId="77777777" w:rsidR="00273062" w:rsidRPr="00273062" w:rsidRDefault="00273062" w:rsidP="00273062">
      <w:pPr>
        <w:spacing w:line="360" w:lineRule="auto"/>
        <w:jc w:val="both"/>
        <w:rPr>
          <w:rFonts w:ascii="Helvetica" w:hAnsi="Helvetica" w:cs="Helvetica"/>
          <w:szCs w:val="24"/>
        </w:rPr>
      </w:pPr>
    </w:p>
    <w:p w14:paraId="7006BDCE"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7. Farmacinė kompozicija, apimanti druską pagal bet kurį iš ankstesnių punktų ir farmaciniu požiūriu priimtiną užpildą. </w:t>
      </w:r>
    </w:p>
    <w:p w14:paraId="4DAC71B6" w14:textId="77777777" w:rsidR="00273062" w:rsidRPr="00273062" w:rsidRDefault="00273062" w:rsidP="00273062">
      <w:pPr>
        <w:spacing w:line="360" w:lineRule="auto"/>
        <w:jc w:val="both"/>
        <w:rPr>
          <w:rFonts w:ascii="Helvetica" w:hAnsi="Helvetica" w:cs="Helvetica"/>
          <w:szCs w:val="24"/>
        </w:rPr>
      </w:pPr>
    </w:p>
    <w:p w14:paraId="6B931FEB"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8. Farmacinė kompozicija pagal 7 punktą, papildomai apimanti vieną ar daugiau papildomų terapinių agentų, parinktų iš priešvėžinių agentų, priešuždegiminių agentų, imunosupresinių agentų, steroidų, nesteroidinių priešuždegiminių agentų, antihistamininių vaistų, analgetikų ir jų mišinių.</w:t>
      </w:r>
    </w:p>
    <w:p w14:paraId="063C5B2F" w14:textId="77777777" w:rsidR="00273062" w:rsidRPr="00273062" w:rsidRDefault="00273062" w:rsidP="00273062">
      <w:pPr>
        <w:spacing w:line="360" w:lineRule="auto"/>
        <w:jc w:val="both"/>
        <w:rPr>
          <w:rFonts w:ascii="Helvetica" w:hAnsi="Helvetica" w:cs="Helvetica"/>
          <w:szCs w:val="24"/>
        </w:rPr>
      </w:pPr>
    </w:p>
    <w:p w14:paraId="5482C143" w14:textId="77777777" w:rsidR="00273062" w:rsidRPr="00273062" w:rsidRDefault="00273062" w:rsidP="00273062">
      <w:pPr>
        <w:spacing w:line="360" w:lineRule="auto"/>
        <w:ind w:firstLine="567"/>
        <w:jc w:val="both"/>
        <w:rPr>
          <w:rFonts w:ascii="Helvetica" w:hAnsi="Helvetica" w:cs="Helvetica"/>
          <w:szCs w:val="24"/>
        </w:rPr>
      </w:pPr>
      <w:r w:rsidRPr="00273062">
        <w:rPr>
          <w:rFonts w:ascii="Helvetica" w:hAnsi="Helvetica" w:cs="Helvetica"/>
          <w:szCs w:val="24"/>
        </w:rPr>
        <w:t xml:space="preserve">9. Druska pagal bet kurį iš 1-6 punktų, skirta naudoti gydant su PI3K susijusią ligą ar sutrikimą, kur su PI3K susijusi liga, sutrikimas ar būklė yra su imunine sistema susijusi liga, liga ar sutrikimas, susijęs su uždegimu, vėžiu ar kita proliferacine liga, kepenų liga ar sutrikimas arba inkstų liga ar sutrikimas ir yra parinkti iš limfoidinės linijos hematopoetinių navikų, leukemijos, ūminės limfocitinės leukemijos, ūminės limfoblastinės leukemijos, B ląstelių limfomos, T ląstelių limfomos, Hodžkino limfomos, ne-Hodžkino limfomos, plaukuotųjų ląstelių limfomos ir Burketto limfomos; mieloidinės linijos hematopoetinių navikų, ūminės mielogeninės leukemijos, lėtinės mielogeninės leukemijos, mielodisplastinio sindromo, promielocitinės leukemijos; šlapimo pūslės karcinomos, krūties karcinomos, gaubtinės žarnos karcinomos, inkstų karcinomos, kepenų karcinomos, plaučių karcinomos, smulkiųjų ląstelių plaučių vėžio, stemplės vėžio, </w:t>
      </w:r>
      <w:r w:rsidRPr="00273062">
        <w:rPr>
          <w:rFonts w:ascii="Helvetica" w:hAnsi="Helvetica" w:cs="Helvetica"/>
          <w:szCs w:val="24"/>
        </w:rPr>
        <w:lastRenderedPageBreak/>
        <w:t>tulžies pūslės vėžio, kiaušidžių vėžio, kasos vėžio, skrandžio vėžio, gimdos kaklelio vėžio, skydliaukės vėžio, prostatos vėžio, odos vėžio, plokščialąstelinės karcinomos; mezenchiminės kilmės navikų, fibrosarkomos, rabdomiosarkomos; centrinės ir periferinės nervų sistemos navikų, astrocitomos, neuroblastomos, gliomos, švannomos; melanomos, seminomos, teratokarcinomos, osteosarkomos, pigmentinės ksenoderomos, keratoktantomos, skydliaukės folikulinio vėžio, Kapoši sarkomos, uždegimo, glomerulonefrito, uveito, kepenų ligų ar sutrikimų, inkstų ligų ar sutrikimų, lėtinės obstrukcinės plaučių ligos, reumatoidinio artrito, uždegiminės žarnyno ligos, vaskulito, dermatito, osteoartrito, uždegiminės raumenų ligos, alerginio rinito, vaginito, intersticinio cistito, sklerodermos, osteoporozės, egzemos, alogeninės ar ksenogeninės transplantacijos, transplantato atmetimo, transplantato prieš šeimininką ligos, raudonosios vilkligės, plaučių fibrozės, dermatomiozito, tiroidito, didžiosios miastenijos, autoimuninės hemolizinės anemijos, cistinės fibrozės, lėtinio recidyvuojančio hepatito, pirminės tulžies cirozės, alerginio konjunktyvito, hepatito, atopinio dermatito, astmos, Sjogreno sindromo, organų transplantacijos atmetimo, išsėtinės sklerozės, Guillain-Barre, autoimuninio uveito, autoimuninės hemolizinės anemijos, žalingos anemijos, autoimuninės trombocitopenijos, laikino arterito, antifosfolipidinio sindromo, vaskulitų, tokių kaip Vegenerio granulomatozė, Behčeto liga, psoriazė, herpetiformis dermatitas, paprastoji pūslinė, vitiligo, Krono liga, kolitas, opinis kolitas, pirminės tulžies cirozės, autoimuninio hepatito, 1 tipo arba imuninio cukrinio diabeto, Greivso ligos, Hašimoto tiroidito, autoimuninio oforito ir orchito, autoimuninio antinksčių sutrikimo, sisteminės raudonosios vilkligės, polimiozito, dermatomiozito, ankilozuojančio spondilito, transplantato atmetimo, odos transplantato atmetimo, artrito, kaulų ligų, susijusių su padidėjusia kaulų rezorbcija; ileito, Bareto sindromo, suaugusiųjų kvėpavimo distreso sindromo, lėtinės obstrukcinės kvėpavimo takų ligos; ragenos distrofijos, trachomos, onchocerciazės, simpatinio oftalmito, endoftalmito; gingivito, periodontito; tuberkuliozės; raupsų; ureminių komplikacijų, nefrozės; sklerodermito, psoriazės, lėtinių demielinizuojančių nervų sistemos ligų, su AIDS susijusios neurodegeneracijos, Alzheimerio ligos, infekcinio meningito, encefalomielito, Parkinsono ligos, Hantingtono ligos, amiotrofinės lateralinės sklerozės, virusinio ar autoimuninio encefalito; autoimuninių sutrikimų, kompleksinio imuninio vaskulito, sisteminės vilkligės ir eritematodų; sisteminės raudonosios vilkligės (SLE); kardiomiopatijos, išeminės širdies ligos, hipercholesterolemijos, aterosklerozės, preeklampsijos; lėtinio kepenų nepakankamumo, smegenų ir nugaros smegenų traumos bei vėžio.</w:t>
      </w:r>
    </w:p>
    <w:p w14:paraId="373D011B" w14:textId="77777777" w:rsidR="00273062" w:rsidRPr="00273062" w:rsidRDefault="00273062" w:rsidP="00273062">
      <w:pPr>
        <w:spacing w:line="360" w:lineRule="auto"/>
        <w:jc w:val="both"/>
        <w:rPr>
          <w:rFonts w:ascii="Helvetica" w:hAnsi="Helvetica" w:cs="Helvetica"/>
          <w:szCs w:val="24"/>
        </w:rPr>
      </w:pPr>
    </w:p>
    <w:sectPr w:rsidR="00273062" w:rsidRPr="00273062" w:rsidSect="0027306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95C2" w14:textId="77777777" w:rsidR="00FF2C0C" w:rsidRDefault="00FF2C0C" w:rsidP="00273062">
      <w:r>
        <w:separator/>
      </w:r>
    </w:p>
  </w:endnote>
  <w:endnote w:type="continuationSeparator" w:id="0">
    <w:p w14:paraId="6454C4DB" w14:textId="77777777" w:rsidR="00FF2C0C" w:rsidRDefault="00FF2C0C" w:rsidP="0027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C6DB" w14:textId="77777777" w:rsidR="00FF2C0C" w:rsidRDefault="00FF2C0C" w:rsidP="00273062">
      <w:r>
        <w:separator/>
      </w:r>
    </w:p>
  </w:footnote>
  <w:footnote w:type="continuationSeparator" w:id="0">
    <w:p w14:paraId="7F2971B9" w14:textId="77777777" w:rsidR="00FF2C0C" w:rsidRDefault="00FF2C0C" w:rsidP="00273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062"/>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3062"/>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051A5"/>
    <w:rsid w:val="00610A52"/>
    <w:rsid w:val="00620AE2"/>
    <w:rsid w:val="0062383E"/>
    <w:rsid w:val="00643847"/>
    <w:rsid w:val="00657966"/>
    <w:rsid w:val="006879C4"/>
    <w:rsid w:val="006A050F"/>
    <w:rsid w:val="006A495E"/>
    <w:rsid w:val="006C47E9"/>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E7C9A"/>
    <w:rsid w:val="00A007EB"/>
    <w:rsid w:val="00A37603"/>
    <w:rsid w:val="00A41E70"/>
    <w:rsid w:val="00A53C42"/>
    <w:rsid w:val="00A7405D"/>
    <w:rsid w:val="00A9446D"/>
    <w:rsid w:val="00AB40E5"/>
    <w:rsid w:val="00AC620D"/>
    <w:rsid w:val="00AD5E9E"/>
    <w:rsid w:val="00B10D50"/>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 w:val="00FF2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3455"/>
  <w15:docId w15:val="{C573C07A-1FCB-41CC-B9BC-38C90F73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062"/>
    <w:rPr>
      <w:rFonts w:ascii="Tahoma" w:hAnsi="Tahoma" w:cs="Tahoma"/>
      <w:sz w:val="16"/>
      <w:szCs w:val="16"/>
    </w:rPr>
  </w:style>
  <w:style w:type="character" w:customStyle="1" w:styleId="BalloonTextChar">
    <w:name w:val="Balloon Text Char"/>
    <w:basedOn w:val="DefaultParagraphFont"/>
    <w:link w:val="BalloonText"/>
    <w:uiPriority w:val="99"/>
    <w:semiHidden/>
    <w:rsid w:val="00273062"/>
    <w:rPr>
      <w:rFonts w:ascii="Tahoma" w:hAnsi="Tahoma" w:cs="Tahoma"/>
      <w:sz w:val="16"/>
      <w:szCs w:val="16"/>
      <w:lang w:eastAsia="en-US"/>
    </w:rPr>
  </w:style>
  <w:style w:type="paragraph" w:styleId="Header">
    <w:name w:val="header"/>
    <w:basedOn w:val="Normal"/>
    <w:link w:val="HeaderChar"/>
    <w:uiPriority w:val="99"/>
    <w:unhideWhenUsed/>
    <w:rsid w:val="00273062"/>
    <w:pPr>
      <w:tabs>
        <w:tab w:val="center" w:pos="4819"/>
        <w:tab w:val="right" w:pos="9638"/>
      </w:tabs>
    </w:pPr>
  </w:style>
  <w:style w:type="character" w:customStyle="1" w:styleId="HeaderChar">
    <w:name w:val="Header Char"/>
    <w:basedOn w:val="DefaultParagraphFont"/>
    <w:link w:val="Header"/>
    <w:uiPriority w:val="99"/>
    <w:rsid w:val="00273062"/>
    <w:rPr>
      <w:lang w:eastAsia="en-US"/>
    </w:rPr>
  </w:style>
  <w:style w:type="paragraph" w:styleId="Footer">
    <w:name w:val="footer"/>
    <w:basedOn w:val="Normal"/>
    <w:link w:val="FooterChar"/>
    <w:uiPriority w:val="99"/>
    <w:unhideWhenUsed/>
    <w:rsid w:val="00273062"/>
    <w:pPr>
      <w:tabs>
        <w:tab w:val="center" w:pos="4819"/>
        <w:tab w:val="right" w:pos="9638"/>
      </w:tabs>
    </w:pPr>
  </w:style>
  <w:style w:type="character" w:customStyle="1" w:styleId="FooterChar">
    <w:name w:val="Footer Char"/>
    <w:basedOn w:val="DefaultParagraphFont"/>
    <w:link w:val="Footer"/>
    <w:uiPriority w:val="99"/>
    <w:rsid w:val="002730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data.epo.org/publication-server/image?imageName=imgb0004&amp;docId=657747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3216</Words>
  <Characters>1834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Kvietkauskaite</dc:creator>
  <cp:lastModifiedBy>Raimonda Kvietkauskaitė</cp:lastModifiedBy>
  <cp:revision>2</cp:revision>
  <dcterms:created xsi:type="dcterms:W3CDTF">2021-08-25T09:06:00Z</dcterms:created>
  <dcterms:modified xsi:type="dcterms:W3CDTF">2021-08-25T09:10:00Z</dcterms:modified>
</cp:coreProperties>
</file>