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kompozicijomis, turinčiomis 1-aril-4,5-dihidro-1,2, 4- triazol-5(1H)-onų (triazolinonų) derinyje su herbicidine (2,4-dichlorfenoksi) acto rūgštimi (2,4-D) arba panašiomis praskiestomis fenoksialkaninėmis rūgštimis arba jų esteriais, arba šarminių metalų arba amonio druskomis, arba su tam tikrais herbicidiniais sulfonilkarbamidais arba tų klasių junginiais, siekiant gauti herbicidų kompozicijas, labai efektyviai veikiančias prieš platų augalinių kultūrų piktžolių spektrą, ypatingai plačialapes piktžoles tokiuose javuose, kaip kviečiai.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