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farmacinei kompozicijai, kurioje yra mažiausiai vienas chinonas, ir jos panaudojimui ligos, ypač vėžio ir virusinių infekcijų gydymui. Vaisto mišinyje yra mažiausiai vienas chinonas, ištirpintas arba disperguotas skystame skiediklyje arba nešiklyje, esant apie 10-3 mol/l ir mažesnei koncentracijai, geriau mažesnei negu 10-18 mol/l. Šiame mišinyje mažiausiai bent vienas chinonas yra pageidautinas: antrachinono glikozidas, dar geriau karmino rūgštis. (1) formulės junginys, kur R1 yra vandenilis, cukrus, pvz., -C6H11O5, hidroksilas (a), kuriame R5 yra -CH2NHAC,-CH2OH,- CH(NH2)CO2H arba CH2NH2; R2 yra metilas arba -CO2H; R3 yra vandenilis, -NH2 arba -SO3X, kuriame X yra H, Na arba K; ir R4 yra vandenilis arba hidroksilas (II) formulės chinhidronas; (III) formulės tetrahidroksichinonas.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