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BFE" w14:textId="26A90847" w:rsidR="00500B25" w:rsidRPr="008F3227" w:rsidRDefault="00B70727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1. </w:t>
      </w:r>
      <w:r w:rsidR="00E51443" w:rsidRPr="008F3227">
        <w:rPr>
          <w:rFonts w:ascii="Helvetica" w:hAnsi="Helvetica" w:cs="Arial"/>
          <w:sz w:val="20"/>
          <w:lang w:val="lt-LT"/>
        </w:rPr>
        <w:t>Identifikavimo būdas šlapimo pūslės vėžiu sergančio paciento, kuris reaguoja į gydymą fibroblastų augimo faktoriaus receptoriaus (FGFR) inhibitoriumi,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E51443" w:rsidRPr="008F3227">
        <w:rPr>
          <w:rFonts w:ascii="Helvetica" w:hAnsi="Helvetica" w:cs="Arial"/>
          <w:sz w:val="20"/>
          <w:lang w:val="lt-LT"/>
        </w:rPr>
        <w:t>kur</w:t>
      </w:r>
      <w:r w:rsidR="00231932" w:rsidRPr="008F3227">
        <w:rPr>
          <w:rFonts w:ascii="Helvetica" w:hAnsi="Helvetica" w:cs="Arial"/>
          <w:sz w:val="20"/>
          <w:lang w:val="lt-LT"/>
        </w:rPr>
        <w:t xml:space="preserve"> FGFR inhibitor</w:t>
      </w:r>
      <w:r w:rsidR="00E51443" w:rsidRPr="008F3227">
        <w:rPr>
          <w:rFonts w:ascii="Helvetica" w:hAnsi="Helvetica" w:cs="Arial"/>
          <w:sz w:val="20"/>
          <w:lang w:val="lt-LT"/>
        </w:rPr>
        <w:t>ius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E51443" w:rsidRPr="008F3227">
        <w:rPr>
          <w:rFonts w:ascii="Helvetica" w:hAnsi="Helvetica" w:cs="Arial"/>
          <w:sz w:val="20"/>
          <w:lang w:val="lt-LT"/>
        </w:rPr>
        <w:t xml:space="preserve">apima junginį, kurio </w:t>
      </w:r>
      <w:r w:rsidR="00231932" w:rsidRPr="008F3227">
        <w:rPr>
          <w:rFonts w:ascii="Helvetica" w:hAnsi="Helvetica" w:cs="Arial"/>
          <w:sz w:val="20"/>
          <w:lang w:val="lt-LT"/>
        </w:rPr>
        <w:t>stru</w:t>
      </w:r>
      <w:r w:rsidR="00E51443" w:rsidRPr="008F3227">
        <w:rPr>
          <w:rFonts w:ascii="Helvetica" w:hAnsi="Helvetica" w:cs="Arial"/>
          <w:sz w:val="20"/>
          <w:lang w:val="lt-LT"/>
        </w:rPr>
        <w:t>k</w:t>
      </w:r>
      <w:r w:rsidR="00231932" w:rsidRPr="008F3227">
        <w:rPr>
          <w:rFonts w:ascii="Helvetica" w:hAnsi="Helvetica" w:cs="Arial"/>
          <w:sz w:val="20"/>
          <w:lang w:val="lt-LT"/>
        </w:rPr>
        <w:t>t</w:t>
      </w:r>
      <w:r w:rsidR="00E51443" w:rsidRPr="008F3227">
        <w:rPr>
          <w:rFonts w:ascii="Helvetica" w:hAnsi="Helvetica" w:cs="Arial"/>
          <w:sz w:val="20"/>
          <w:lang w:val="lt-LT"/>
        </w:rPr>
        <w:t>ūrinė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E51443" w:rsidRPr="008F3227">
        <w:rPr>
          <w:rFonts w:ascii="Helvetica" w:hAnsi="Helvetica" w:cs="Arial"/>
          <w:sz w:val="20"/>
          <w:lang w:val="lt-LT"/>
        </w:rPr>
        <w:t>f</w:t>
      </w:r>
      <w:r w:rsidR="00231932" w:rsidRPr="008F3227">
        <w:rPr>
          <w:rFonts w:ascii="Helvetica" w:hAnsi="Helvetica" w:cs="Arial"/>
          <w:sz w:val="20"/>
          <w:lang w:val="lt-LT"/>
        </w:rPr>
        <w:t>ormul</w:t>
      </w:r>
      <w:r w:rsidR="00E51443" w:rsidRPr="008F3227">
        <w:rPr>
          <w:rFonts w:ascii="Helvetica" w:hAnsi="Helvetica" w:cs="Arial"/>
          <w:sz w:val="20"/>
          <w:lang w:val="lt-LT"/>
        </w:rPr>
        <w:t>ė</w:t>
      </w:r>
      <w:r w:rsidR="00231932" w:rsidRPr="008F3227">
        <w:rPr>
          <w:rFonts w:ascii="Helvetica" w:hAnsi="Helvetica" w:cs="Arial"/>
          <w:sz w:val="20"/>
          <w:lang w:val="lt-LT"/>
        </w:rPr>
        <w:t xml:space="preserve"> (I),</w:t>
      </w:r>
    </w:p>
    <w:p w14:paraId="7B52C872" w14:textId="1B21035A" w:rsidR="00231932" w:rsidRPr="008F3227" w:rsidRDefault="00FB6FE1" w:rsidP="008F322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pict w14:anchorId="752DB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8pt;height:124.4pt">
            <v:imagedata r:id="rId6" o:title=""/>
          </v:shape>
        </w:pict>
      </w:r>
    </w:p>
    <w:p w14:paraId="7B0E5A90" w14:textId="5194FCBE" w:rsidR="00231932" w:rsidRPr="008F3227" w:rsidRDefault="00E51443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jo </w:t>
      </w:r>
      <w:r w:rsidR="00231932" w:rsidRPr="008F3227">
        <w:rPr>
          <w:rFonts w:ascii="Helvetica" w:hAnsi="Helvetica" w:cs="Arial"/>
          <w:sz w:val="20"/>
          <w:lang w:val="lt-LT"/>
        </w:rPr>
        <w:t>N-</w:t>
      </w:r>
      <w:proofErr w:type="spellStart"/>
      <w:r w:rsidR="00231932" w:rsidRPr="008F3227">
        <w:rPr>
          <w:rFonts w:ascii="Helvetica" w:hAnsi="Helvetica" w:cs="Arial"/>
          <w:sz w:val="20"/>
          <w:lang w:val="lt-LT"/>
        </w:rPr>
        <w:t>oxid</w:t>
      </w:r>
      <w:r w:rsidRPr="008F3227">
        <w:rPr>
          <w:rFonts w:ascii="Helvetica" w:hAnsi="Helvetica" w:cs="Arial"/>
          <w:sz w:val="20"/>
          <w:lang w:val="lt-LT"/>
        </w:rPr>
        <w:t>ą</w:t>
      </w:r>
      <w:proofErr w:type="spellEnd"/>
      <w:r w:rsidR="00231932" w:rsidRPr="008F3227">
        <w:rPr>
          <w:rFonts w:ascii="Helvetica" w:hAnsi="Helvetica" w:cs="Arial"/>
          <w:sz w:val="20"/>
          <w:lang w:val="lt-LT"/>
        </w:rPr>
        <w:t xml:space="preserve">, </w:t>
      </w:r>
      <w:r w:rsidR="001943F8" w:rsidRPr="008F3227">
        <w:rPr>
          <w:rFonts w:ascii="Helvetica" w:hAnsi="Helvetica" w:cs="Arial"/>
          <w:sz w:val="20"/>
          <w:lang w:val="lt-LT"/>
        </w:rPr>
        <w:t>farmaciniu požiūriu priimtiną jo druską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1943F8" w:rsidRPr="008F3227">
        <w:rPr>
          <w:rFonts w:ascii="Helvetica" w:hAnsi="Helvetica" w:cs="Arial"/>
          <w:sz w:val="20"/>
          <w:lang w:val="lt-LT"/>
        </w:rPr>
        <w:t>arba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1943F8" w:rsidRPr="008F3227">
        <w:rPr>
          <w:rFonts w:ascii="Helvetica" w:hAnsi="Helvetica" w:cs="Arial"/>
          <w:sz w:val="20"/>
          <w:lang w:val="lt-LT"/>
        </w:rPr>
        <w:t xml:space="preserve">jo </w:t>
      </w:r>
      <w:proofErr w:type="spellStart"/>
      <w:r w:rsidR="00231932" w:rsidRPr="008F3227">
        <w:rPr>
          <w:rFonts w:ascii="Helvetica" w:hAnsi="Helvetica" w:cs="Arial"/>
          <w:sz w:val="20"/>
          <w:lang w:val="lt-LT"/>
        </w:rPr>
        <w:t>solvat</w:t>
      </w:r>
      <w:r w:rsidR="001943F8" w:rsidRPr="008F3227">
        <w:rPr>
          <w:rFonts w:ascii="Helvetica" w:hAnsi="Helvetica" w:cs="Arial"/>
          <w:sz w:val="20"/>
          <w:lang w:val="lt-LT"/>
        </w:rPr>
        <w:t>ą</w:t>
      </w:r>
      <w:proofErr w:type="spellEnd"/>
      <w:r w:rsidR="001943F8" w:rsidRPr="008F3227">
        <w:rPr>
          <w:rFonts w:ascii="Helvetica" w:hAnsi="Helvetica" w:cs="Arial"/>
          <w:sz w:val="20"/>
          <w:lang w:val="lt-LT"/>
        </w:rPr>
        <w:t>,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1943F8" w:rsidRPr="008F3227">
        <w:rPr>
          <w:rFonts w:ascii="Helvetica" w:hAnsi="Helvetica" w:cs="Arial"/>
          <w:sz w:val="20"/>
          <w:lang w:val="lt-LT"/>
        </w:rPr>
        <w:t>ir kur būdas apima</w:t>
      </w:r>
      <w:r w:rsidR="00231932" w:rsidRPr="008F3227">
        <w:rPr>
          <w:rFonts w:ascii="Helvetica" w:hAnsi="Helvetica" w:cs="Arial"/>
          <w:sz w:val="20"/>
          <w:lang w:val="lt-LT"/>
        </w:rPr>
        <w:t>:</w:t>
      </w:r>
    </w:p>
    <w:p w14:paraId="2FFBC088" w14:textId="77777777" w:rsidR="0039367C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(a) </w:t>
      </w:r>
      <w:r w:rsidR="001943F8" w:rsidRPr="008F3227">
        <w:rPr>
          <w:rFonts w:ascii="Helvetica" w:hAnsi="Helvetica" w:cs="Arial"/>
          <w:sz w:val="20"/>
          <w:lang w:val="lt-LT"/>
        </w:rPr>
        <w:t xml:space="preserve">paciento biologinio mėginio įvertinimą pagal FGFR mutantą iš FGFR </w:t>
      </w:r>
      <w:proofErr w:type="spellStart"/>
      <w:r w:rsidR="001943F8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1943F8" w:rsidRPr="008F3227">
        <w:rPr>
          <w:rFonts w:ascii="Helvetica" w:hAnsi="Helvetica" w:cs="Arial"/>
          <w:sz w:val="20"/>
          <w:lang w:val="lt-LT"/>
        </w:rPr>
        <w:t xml:space="preserve"> genų rinkinio, kur FGFR mutantas yra FGFR vieno nukleotido polimorfizmas FGFR3 S249C, ir kur minėtas įvertinimas apima </w:t>
      </w:r>
    </w:p>
    <w:p w14:paraId="1E095FB6" w14:textId="3595B666" w:rsidR="00231932" w:rsidRPr="008F3227" w:rsidRDefault="00D25A50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9367C" w:rsidRPr="008F3227">
        <w:rPr>
          <w:rFonts w:ascii="Helvetica" w:hAnsi="Helvetica" w:cs="Arial"/>
          <w:sz w:val="20"/>
          <w:lang w:val="lt-LT"/>
        </w:rPr>
        <w:t>amplifikavimą</w:t>
      </w:r>
      <w:proofErr w:type="spellEnd"/>
      <w:r w:rsidR="0039367C" w:rsidRPr="008F3227">
        <w:rPr>
          <w:rFonts w:ascii="Helvetica" w:hAnsi="Helvetica" w:cs="Arial"/>
          <w:sz w:val="20"/>
          <w:lang w:val="lt-LT"/>
        </w:rPr>
        <w:t xml:space="preserve"> su pradmenų pora kuri rišasi prie vieno arba daugiau FGFR mutantų iš FGFR </w:t>
      </w:r>
      <w:proofErr w:type="spellStart"/>
      <w:r w:rsidR="0039367C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39367C" w:rsidRPr="008F3227">
        <w:rPr>
          <w:rFonts w:ascii="Helvetica" w:hAnsi="Helvetica" w:cs="Arial"/>
          <w:sz w:val="20"/>
          <w:lang w:val="lt-LT"/>
        </w:rPr>
        <w:t xml:space="preserve"> genų rinkinio ir juos amplifikuoja</w:t>
      </w:r>
      <w:r w:rsidR="00231932" w:rsidRPr="008F3227">
        <w:rPr>
          <w:rFonts w:ascii="Helvetica" w:hAnsi="Helvetica" w:cs="Arial"/>
          <w:sz w:val="20"/>
          <w:lang w:val="lt-LT"/>
        </w:rPr>
        <w:t xml:space="preserve">; </w:t>
      </w:r>
      <w:r w:rsidR="0039367C" w:rsidRPr="008F3227">
        <w:rPr>
          <w:rFonts w:ascii="Helvetica" w:hAnsi="Helvetica" w:cs="Arial"/>
          <w:sz w:val="20"/>
          <w:lang w:val="lt-LT"/>
        </w:rPr>
        <w:t>ir</w:t>
      </w:r>
    </w:p>
    <w:p w14:paraId="1C31728A" w14:textId="733DDF2B" w:rsidR="00231932" w:rsidRPr="008F3227" w:rsidRDefault="0039367C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>nustatymą, ar vienas arba daugiau</w:t>
      </w:r>
      <w:r w:rsidR="00231932" w:rsidRPr="008F3227">
        <w:rPr>
          <w:rFonts w:ascii="Helvetica" w:hAnsi="Helvetica" w:cs="Arial"/>
          <w:sz w:val="20"/>
          <w:lang w:val="lt-LT"/>
        </w:rPr>
        <w:t xml:space="preserve"> FGFR mutant</w:t>
      </w:r>
      <w:r w:rsidRPr="008F3227">
        <w:rPr>
          <w:rFonts w:ascii="Helvetica" w:hAnsi="Helvetica" w:cs="Arial"/>
          <w:sz w:val="20"/>
          <w:lang w:val="lt-LT"/>
        </w:rPr>
        <w:t>ų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Pr="008F3227">
        <w:rPr>
          <w:rFonts w:ascii="Helvetica" w:hAnsi="Helvetica" w:cs="Arial"/>
          <w:sz w:val="20"/>
          <w:lang w:val="lt-LT"/>
        </w:rPr>
        <w:t xml:space="preserve">iš FGFR </w:t>
      </w:r>
      <w:proofErr w:type="spellStart"/>
      <w:r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genų rinkinio yra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Pr="008F3227">
        <w:rPr>
          <w:rFonts w:ascii="Helvetica" w:hAnsi="Helvetica" w:cs="Arial"/>
          <w:sz w:val="20"/>
          <w:lang w:val="lt-LT"/>
        </w:rPr>
        <w:t>mėginyje</w:t>
      </w:r>
      <w:r w:rsidR="00231932" w:rsidRPr="008F3227">
        <w:rPr>
          <w:rFonts w:ascii="Helvetica" w:hAnsi="Helvetica" w:cs="Arial"/>
          <w:sz w:val="20"/>
          <w:lang w:val="lt-LT"/>
        </w:rPr>
        <w:t xml:space="preserve">, </w:t>
      </w:r>
      <w:r w:rsidRPr="008F3227">
        <w:rPr>
          <w:rFonts w:ascii="Helvetica" w:hAnsi="Helvetica" w:cs="Arial"/>
          <w:sz w:val="20"/>
          <w:lang w:val="lt-LT"/>
        </w:rPr>
        <w:t>kur</w:t>
      </w:r>
      <w:r w:rsidR="00231932" w:rsidRPr="008F3227">
        <w:rPr>
          <w:rFonts w:ascii="Helvetica" w:hAnsi="Helvetica" w:cs="Arial"/>
          <w:sz w:val="20"/>
          <w:lang w:val="lt-LT"/>
        </w:rPr>
        <w:t xml:space="preserve"> </w:t>
      </w:r>
      <w:r w:rsidR="00334D00" w:rsidRPr="008F3227">
        <w:rPr>
          <w:rFonts w:ascii="Helvetica" w:hAnsi="Helvetica" w:cs="Arial"/>
          <w:sz w:val="20"/>
          <w:lang w:val="lt-LT"/>
        </w:rPr>
        <w:t>vieno arba daugiau FGFR mutantų, iš kurių vienas mutantas būtų FGFR3 S249C, buvimas rodo, kad pacientas reaguoja į gydymą FGFR inhibitoriumi</w:t>
      </w:r>
      <w:r w:rsidR="00231932" w:rsidRPr="008F3227">
        <w:rPr>
          <w:rFonts w:ascii="Helvetica" w:hAnsi="Helvetica" w:cs="Arial"/>
          <w:sz w:val="20"/>
          <w:lang w:val="lt-LT"/>
        </w:rPr>
        <w:t xml:space="preserve">; </w:t>
      </w:r>
      <w:r w:rsidR="00334D00" w:rsidRPr="008F3227">
        <w:rPr>
          <w:rFonts w:ascii="Helvetica" w:hAnsi="Helvetica" w:cs="Arial"/>
          <w:sz w:val="20"/>
          <w:lang w:val="lt-LT"/>
        </w:rPr>
        <w:t>arba</w:t>
      </w:r>
      <w:r w:rsidR="00231932" w:rsidRPr="008F3227">
        <w:rPr>
          <w:rFonts w:ascii="Helvetica" w:hAnsi="Helvetica" w:cs="Arial"/>
          <w:sz w:val="20"/>
          <w:lang w:val="lt-LT"/>
        </w:rPr>
        <w:t>,</w:t>
      </w:r>
    </w:p>
    <w:p w14:paraId="16573130" w14:textId="51CE3760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(b) </w:t>
      </w:r>
      <w:r w:rsidR="00334D00" w:rsidRPr="008F3227">
        <w:rPr>
          <w:rFonts w:ascii="Helvetica" w:hAnsi="Helvetica" w:cs="Arial"/>
          <w:sz w:val="20"/>
          <w:lang w:val="lt-LT"/>
        </w:rPr>
        <w:t>paciento biologinio mėginio įvertinimas</w:t>
      </w:r>
      <w:r w:rsidR="003459A3" w:rsidRPr="008F3227">
        <w:rPr>
          <w:rFonts w:ascii="Helvetica" w:hAnsi="Helvetica" w:cs="Arial"/>
          <w:sz w:val="20"/>
          <w:lang w:val="lt-LT"/>
        </w:rPr>
        <w:t xml:space="preserve"> pagal tai</w:t>
      </w:r>
      <w:r w:rsidR="00334D00" w:rsidRPr="008F3227">
        <w:rPr>
          <w:rFonts w:ascii="Helvetica" w:hAnsi="Helvetica" w:cs="Arial"/>
          <w:sz w:val="20"/>
          <w:lang w:val="lt-LT"/>
        </w:rPr>
        <w:t xml:space="preserve">, ar yra vienas arba daugiau FGFR mutantų iš FGFR </w:t>
      </w:r>
      <w:proofErr w:type="spellStart"/>
      <w:r w:rsidR="00334D00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334D00" w:rsidRPr="008F3227">
        <w:rPr>
          <w:rFonts w:ascii="Helvetica" w:hAnsi="Helvetica" w:cs="Arial"/>
          <w:sz w:val="20"/>
          <w:lang w:val="lt-LT"/>
        </w:rPr>
        <w:t xml:space="preserve"> genų rinkinio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334D00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FGFR </w:t>
      </w:r>
      <w:r w:rsidR="00334D00" w:rsidRPr="008F3227">
        <w:rPr>
          <w:rFonts w:ascii="Helvetica" w:hAnsi="Helvetica" w:cs="Arial"/>
          <w:sz w:val="20"/>
          <w:lang w:val="lt-LT"/>
        </w:rPr>
        <w:t>mutantas yra FGFR vieno nukleotido polimorfizmas</w:t>
      </w:r>
      <w:r w:rsidRPr="008F3227">
        <w:rPr>
          <w:rFonts w:ascii="Helvetica" w:hAnsi="Helvetica" w:cs="Arial"/>
          <w:sz w:val="20"/>
          <w:lang w:val="lt-LT"/>
        </w:rPr>
        <w:t xml:space="preserve"> FGFR3 S249C, </w:t>
      </w:r>
      <w:r w:rsidR="00334D00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334D00" w:rsidRPr="008F3227">
        <w:rPr>
          <w:rFonts w:ascii="Helvetica" w:hAnsi="Helvetica" w:cs="Arial"/>
          <w:sz w:val="20"/>
          <w:lang w:val="lt-LT"/>
        </w:rPr>
        <w:t>vien</w:t>
      </w:r>
      <w:r w:rsidR="00CF4343" w:rsidRPr="008F3227">
        <w:rPr>
          <w:rFonts w:ascii="Helvetica" w:hAnsi="Helvetica" w:cs="Arial"/>
          <w:sz w:val="20"/>
          <w:lang w:val="lt-LT"/>
        </w:rPr>
        <w:t>o</w:t>
      </w:r>
      <w:r w:rsidR="00334D00" w:rsidRPr="008F3227">
        <w:rPr>
          <w:rFonts w:ascii="Helvetica" w:hAnsi="Helvetica" w:cs="Arial"/>
          <w:sz w:val="20"/>
          <w:lang w:val="lt-LT"/>
        </w:rPr>
        <w:t xml:space="preserve"> arba daugiau FGFR mutantų</w:t>
      </w:r>
      <w:r w:rsidR="00CF4343" w:rsidRPr="008F3227">
        <w:rPr>
          <w:rFonts w:ascii="Helvetica" w:hAnsi="Helvetica" w:cs="Arial"/>
          <w:sz w:val="20"/>
          <w:lang w:val="lt-LT"/>
        </w:rPr>
        <w:t xml:space="preserve"> buvimas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CF4343" w:rsidRPr="008F3227">
        <w:rPr>
          <w:rFonts w:ascii="Helvetica" w:hAnsi="Helvetica" w:cs="Arial"/>
          <w:sz w:val="20"/>
          <w:lang w:val="lt-LT"/>
        </w:rPr>
        <w:t>parodo, kad pacientas reaguoja į gydymą FGFR inhibitoriumi</w:t>
      </w:r>
      <w:r w:rsidRPr="008F3227">
        <w:rPr>
          <w:rFonts w:ascii="Helvetica" w:hAnsi="Helvetica" w:cs="Arial"/>
          <w:sz w:val="20"/>
          <w:lang w:val="lt-LT"/>
        </w:rPr>
        <w:t>.</w:t>
      </w:r>
    </w:p>
    <w:p w14:paraId="385FDCB4" w14:textId="7777777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06CAF1" w14:textId="5C89B160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2. </w:t>
      </w:r>
      <w:r w:rsidR="00CF4343" w:rsidRPr="008F3227">
        <w:rPr>
          <w:rFonts w:ascii="Helvetica" w:hAnsi="Helvetica" w:cs="Arial"/>
          <w:sz w:val="20"/>
          <w:lang w:val="lt-LT"/>
        </w:rPr>
        <w:t>Būdas pagal 1 punktą, 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F4343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CF4343" w:rsidRPr="008F3227">
        <w:rPr>
          <w:rFonts w:ascii="Helvetica" w:hAnsi="Helvetica" w:cs="Arial"/>
          <w:sz w:val="20"/>
          <w:lang w:val="lt-LT"/>
        </w:rPr>
        <w:t xml:space="preserve"> genų rinkinys papildomai apima</w:t>
      </w:r>
      <w:r w:rsidRPr="008F3227">
        <w:rPr>
          <w:rFonts w:ascii="Helvetica" w:hAnsi="Helvetica" w:cs="Arial"/>
          <w:sz w:val="20"/>
          <w:lang w:val="lt-LT"/>
        </w:rPr>
        <w:t>:</w:t>
      </w:r>
    </w:p>
    <w:p w14:paraId="4CBC28E5" w14:textId="6740B45D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(a) FGFR </w:t>
      </w:r>
      <w:r w:rsidR="00CF4343" w:rsidRPr="008F3227">
        <w:rPr>
          <w:rFonts w:ascii="Helvetica" w:hAnsi="Helvetica" w:cs="Arial"/>
          <w:sz w:val="20"/>
          <w:lang w:val="lt-LT"/>
        </w:rPr>
        <w:t>suliejimo</w:t>
      </w:r>
      <w:r w:rsidRPr="008F3227">
        <w:rPr>
          <w:rFonts w:ascii="Helvetica" w:hAnsi="Helvetica" w:cs="Arial"/>
          <w:sz w:val="20"/>
          <w:lang w:val="lt-LT"/>
        </w:rPr>
        <w:t xml:space="preserve"> gen</w:t>
      </w:r>
      <w:r w:rsidR="00CF4343" w:rsidRPr="008F3227">
        <w:rPr>
          <w:rFonts w:ascii="Helvetica" w:hAnsi="Helvetica" w:cs="Arial"/>
          <w:sz w:val="20"/>
          <w:lang w:val="lt-LT"/>
        </w:rPr>
        <w:t>ą</w:t>
      </w:r>
      <w:r w:rsidRPr="008F3227">
        <w:rPr>
          <w:rFonts w:ascii="Helvetica" w:hAnsi="Helvetica" w:cs="Arial"/>
          <w:sz w:val="20"/>
          <w:lang w:val="lt-LT"/>
        </w:rPr>
        <w:t xml:space="preserve"> FGFR3:TACC3 v1, FGFR3:TACC3 v3, FGFR3:TACC3 </w:t>
      </w:r>
      <w:proofErr w:type="spellStart"/>
      <w:r w:rsidRPr="008F3227">
        <w:rPr>
          <w:rFonts w:ascii="Helvetica" w:hAnsi="Helvetica" w:cs="Arial"/>
          <w:sz w:val="20"/>
          <w:lang w:val="lt-LT"/>
        </w:rPr>
        <w:t>Intron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, FGFR3:BAIAP2L1, FGFR2:BICC1, FGFR2:AFF3, FGFR2:CASP7, FGFR2:CCDC6 </w:t>
      </w:r>
      <w:r w:rsidR="00CF4343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FGFR2:OFD1, </w:t>
      </w:r>
      <w:r w:rsidR="00CF4343" w:rsidRPr="008F3227">
        <w:rPr>
          <w:rFonts w:ascii="Helvetica" w:hAnsi="Helvetica" w:cs="Arial"/>
          <w:sz w:val="20"/>
          <w:lang w:val="lt-LT"/>
        </w:rPr>
        <w:t>arba bet kokį jų derinį; ir (arba)</w:t>
      </w:r>
      <w:r w:rsidRPr="008F3227">
        <w:rPr>
          <w:rFonts w:ascii="Helvetica" w:hAnsi="Helvetica" w:cs="Arial"/>
          <w:sz w:val="20"/>
          <w:lang w:val="lt-LT"/>
        </w:rPr>
        <w:t>,</w:t>
      </w:r>
    </w:p>
    <w:p w14:paraId="7CB38D20" w14:textId="16041CC9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(b) FGFR </w:t>
      </w:r>
      <w:r w:rsidR="00CF4343" w:rsidRPr="008F3227">
        <w:rPr>
          <w:rFonts w:ascii="Helvetica" w:hAnsi="Helvetica" w:cs="Arial"/>
          <w:sz w:val="20"/>
          <w:lang w:val="lt-LT"/>
        </w:rPr>
        <w:t>vieno nukleotido polimorfizmą</w:t>
      </w:r>
      <w:r w:rsidRPr="008F3227">
        <w:rPr>
          <w:rFonts w:ascii="Helvetica" w:hAnsi="Helvetica" w:cs="Arial"/>
          <w:sz w:val="20"/>
          <w:lang w:val="lt-LT"/>
        </w:rPr>
        <w:t xml:space="preserve"> FGFR3 R248C, FGFR3 G370C</w:t>
      </w:r>
      <w:r w:rsidR="00CF4343" w:rsidRPr="008F3227">
        <w:rPr>
          <w:rFonts w:ascii="Helvetica" w:hAnsi="Helvetica" w:cs="Arial"/>
          <w:sz w:val="20"/>
          <w:lang w:val="lt-LT"/>
        </w:rPr>
        <w:t xml:space="preserve"> arba</w:t>
      </w:r>
      <w:r w:rsidRPr="008F3227">
        <w:rPr>
          <w:rFonts w:ascii="Helvetica" w:hAnsi="Helvetica" w:cs="Arial"/>
          <w:sz w:val="20"/>
          <w:lang w:val="lt-LT"/>
        </w:rPr>
        <w:t xml:space="preserve"> FGFR3 Y373C, </w:t>
      </w:r>
      <w:r w:rsidR="00CF4343" w:rsidRPr="008F3227">
        <w:rPr>
          <w:rFonts w:ascii="Helvetica" w:hAnsi="Helvetica" w:cs="Arial"/>
          <w:sz w:val="20"/>
          <w:lang w:val="lt-LT"/>
        </w:rPr>
        <w:t>arba bet kokį jų derinį</w:t>
      </w:r>
      <w:r w:rsidRPr="008F3227">
        <w:rPr>
          <w:rFonts w:ascii="Helvetica" w:hAnsi="Helvetica" w:cs="Arial"/>
          <w:sz w:val="20"/>
          <w:lang w:val="lt-LT"/>
        </w:rPr>
        <w:t>.</w:t>
      </w:r>
    </w:p>
    <w:p w14:paraId="31B6AEB2" w14:textId="7777777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3077AD" w14:textId="779CB06D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3. </w:t>
      </w:r>
      <w:r w:rsidR="00CF4343" w:rsidRPr="008F3227">
        <w:rPr>
          <w:rFonts w:ascii="Helvetica" w:hAnsi="Helvetica" w:cs="Arial"/>
          <w:sz w:val="20"/>
          <w:lang w:val="lt-LT"/>
        </w:rPr>
        <w:t>Būdas pagal 1 punktą, kur</w:t>
      </w:r>
      <w:r w:rsidRPr="008F3227">
        <w:rPr>
          <w:rFonts w:ascii="Helvetica" w:hAnsi="Helvetica" w:cs="Arial"/>
          <w:sz w:val="20"/>
          <w:lang w:val="lt-LT"/>
        </w:rPr>
        <w:t xml:space="preserve"> FGFR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genų rinkinys papildomai apima</w:t>
      </w:r>
      <w:r w:rsidRPr="008F3227">
        <w:rPr>
          <w:rFonts w:ascii="Helvetica" w:hAnsi="Helvetica" w:cs="Arial"/>
          <w:sz w:val="20"/>
          <w:lang w:val="lt-LT"/>
        </w:rPr>
        <w:t xml:space="preserve"> FGFR3:TACC3 v1, FGFR3:TACC3 v3, FGFR3:BAIAP2L1, FGFR2:BICC1, FGFR2:AFF3, FGFR2:CASP7, FGFR3 R248C, FGFR3 G370C</w:t>
      </w:r>
      <w:r w:rsidR="00D25A50" w:rsidRPr="008F3227">
        <w:rPr>
          <w:rFonts w:ascii="Helvetica" w:hAnsi="Helvetica" w:cs="Arial"/>
          <w:sz w:val="20"/>
          <w:lang w:val="lt-LT"/>
        </w:rPr>
        <w:t xml:space="preserve"> arba</w:t>
      </w:r>
      <w:r w:rsidRPr="008F3227">
        <w:rPr>
          <w:rFonts w:ascii="Helvetica" w:hAnsi="Helvetica" w:cs="Arial"/>
          <w:sz w:val="20"/>
          <w:lang w:val="lt-LT"/>
        </w:rPr>
        <w:t xml:space="preserve"> FGFR3 Y373C, </w:t>
      </w:r>
      <w:r w:rsidR="00CF4343" w:rsidRPr="008F3227">
        <w:rPr>
          <w:rFonts w:ascii="Helvetica" w:hAnsi="Helvetica" w:cs="Arial"/>
          <w:sz w:val="20"/>
          <w:lang w:val="lt-LT"/>
        </w:rPr>
        <w:t>arba bet kokį jų derinį</w:t>
      </w:r>
      <w:r w:rsidRPr="008F3227">
        <w:rPr>
          <w:rFonts w:ascii="Helvetica" w:hAnsi="Helvetica" w:cs="Arial"/>
          <w:sz w:val="20"/>
          <w:lang w:val="lt-LT"/>
        </w:rPr>
        <w:t>.</w:t>
      </w:r>
    </w:p>
    <w:p w14:paraId="58D75B52" w14:textId="7777777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10115A" w14:textId="46858770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4.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</w:t>
      </w:r>
      <w:r w:rsidRPr="008F3227">
        <w:rPr>
          <w:rFonts w:ascii="Helvetica" w:hAnsi="Helvetica" w:cs="Arial"/>
          <w:sz w:val="20"/>
          <w:lang w:val="lt-LT"/>
        </w:rPr>
        <w:t xml:space="preserve"> 1(b)-3</w:t>
      </w:r>
      <w:r w:rsidR="00D25A50" w:rsidRPr="008F3227">
        <w:rPr>
          <w:rFonts w:ascii="Helvetica" w:hAnsi="Helvetica" w:cs="Arial"/>
          <w:sz w:val="20"/>
          <w:lang w:val="lt-LT"/>
        </w:rPr>
        <w:t xml:space="preserve">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D25A50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D25A50" w:rsidRPr="008F3227">
        <w:rPr>
          <w:rFonts w:ascii="Helvetica" w:hAnsi="Helvetica" w:cs="Arial"/>
          <w:sz w:val="20"/>
          <w:lang w:val="lt-LT"/>
        </w:rPr>
        <w:t>įvertinimas apima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amplifikavimą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su pradmenų pora</w:t>
      </w:r>
      <w:r w:rsidR="003459A3" w:rsidRPr="008F3227">
        <w:rPr>
          <w:rFonts w:ascii="Helvetica" w:hAnsi="Helvetica" w:cs="Arial"/>
          <w:sz w:val="20"/>
          <w:lang w:val="lt-LT"/>
        </w:rPr>
        <w:t>,</w:t>
      </w:r>
      <w:r w:rsidR="00D25A50" w:rsidRPr="008F3227">
        <w:rPr>
          <w:rFonts w:ascii="Helvetica" w:hAnsi="Helvetica" w:cs="Arial"/>
          <w:sz w:val="20"/>
          <w:lang w:val="lt-LT"/>
        </w:rPr>
        <w:t xml:space="preserve"> kuri rišasi prie vieno arba daugiau FGFR mutantų iš FGFR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mutantinių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genų rinkinio</w:t>
      </w:r>
      <w:r w:rsidR="003459A3" w:rsidRPr="008F3227">
        <w:rPr>
          <w:rFonts w:ascii="Helvetica" w:hAnsi="Helvetica" w:cs="Arial"/>
          <w:sz w:val="20"/>
          <w:lang w:val="lt-LT"/>
        </w:rPr>
        <w:t xml:space="preserve"> ir juos amplifikuoja</w:t>
      </w:r>
      <w:r w:rsidRPr="008F3227">
        <w:rPr>
          <w:rFonts w:ascii="Helvetica" w:hAnsi="Helvetica" w:cs="Arial"/>
          <w:sz w:val="20"/>
          <w:lang w:val="lt-LT"/>
        </w:rPr>
        <w:t xml:space="preserve">; </w:t>
      </w:r>
      <w:r w:rsidR="00D25A50" w:rsidRPr="008F3227">
        <w:rPr>
          <w:rFonts w:ascii="Helvetica" w:hAnsi="Helvetica" w:cs="Arial"/>
          <w:sz w:val="20"/>
          <w:lang w:val="lt-LT"/>
        </w:rPr>
        <w:t>pasirinktinai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D25A50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yra iš anksto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amplifikuota</w:t>
      </w:r>
      <w:proofErr w:type="spellEnd"/>
      <w:r w:rsidR="00D25A50"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Pr="008F3227">
        <w:rPr>
          <w:rFonts w:ascii="Helvetica" w:hAnsi="Helvetica" w:cs="Arial"/>
          <w:sz w:val="20"/>
          <w:lang w:val="lt-LT"/>
        </w:rPr>
        <w:t>.</w:t>
      </w:r>
    </w:p>
    <w:p w14:paraId="0BAEAF81" w14:textId="7777777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2C3BDD" w14:textId="40C92B8F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5.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 ankstesnių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A35957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FGFR </w:t>
      </w:r>
      <w:r w:rsidR="00A35957" w:rsidRPr="008F3227">
        <w:rPr>
          <w:rFonts w:ascii="Helvetica" w:hAnsi="Helvetica" w:cs="Arial"/>
          <w:sz w:val="20"/>
          <w:lang w:val="lt-LT"/>
        </w:rPr>
        <w:t>mutantas ir pradmenų pora yra</w:t>
      </w:r>
      <w:r w:rsidRPr="008F3227">
        <w:rPr>
          <w:rFonts w:ascii="Helvetica" w:hAnsi="Helvetica" w:cs="Arial"/>
          <w:sz w:val="20"/>
          <w:lang w:val="lt-LT"/>
        </w:rPr>
        <w:t xml:space="preserve"> FGFR3 S249C</w:t>
      </w:r>
      <w:r w:rsidR="00A35957" w:rsidRPr="008F3227">
        <w:rPr>
          <w:rFonts w:ascii="Helvetica" w:hAnsi="Helvetica" w:cs="Arial"/>
          <w:sz w:val="20"/>
          <w:lang w:val="lt-LT"/>
        </w:rPr>
        <w:t>,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25 </w:t>
      </w:r>
      <w:r w:rsidR="00A35957" w:rsidRPr="008F3227">
        <w:rPr>
          <w:rFonts w:ascii="Helvetica" w:hAnsi="Helvetica" w:cs="Arial"/>
          <w:sz w:val="20"/>
          <w:lang w:val="lt-LT"/>
        </w:rPr>
        <w:t>ir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26 </w:t>
      </w:r>
      <w:r w:rsidR="00A35957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33 </w:t>
      </w:r>
      <w:r w:rsidR="00A35957" w:rsidRPr="008F3227">
        <w:rPr>
          <w:rFonts w:ascii="Helvetica" w:hAnsi="Helvetica" w:cs="Arial"/>
          <w:sz w:val="20"/>
          <w:lang w:val="lt-LT"/>
        </w:rPr>
        <w:t>ir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34, </w:t>
      </w:r>
      <w:r w:rsidR="00A35957" w:rsidRPr="008F3227">
        <w:rPr>
          <w:rFonts w:ascii="Helvetica" w:hAnsi="Helvetica" w:cs="Arial"/>
          <w:sz w:val="20"/>
          <w:lang w:val="lt-LT"/>
        </w:rPr>
        <w:t>ir pasirinktinai</w:t>
      </w:r>
      <w:r w:rsidRPr="008F3227">
        <w:rPr>
          <w:rFonts w:ascii="Helvetica" w:hAnsi="Helvetica" w:cs="Arial"/>
          <w:sz w:val="20"/>
          <w:lang w:val="lt-LT"/>
        </w:rPr>
        <w:t>:</w:t>
      </w:r>
    </w:p>
    <w:p w14:paraId="180131C7" w14:textId="13062AD8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FGFR3:TACC3 v1 </w:t>
      </w:r>
      <w:r w:rsidR="00A35957" w:rsidRPr="008F3227">
        <w:rPr>
          <w:rFonts w:ascii="Helvetica" w:hAnsi="Helvetica" w:cs="Arial"/>
          <w:sz w:val="20"/>
          <w:lang w:val="lt-LT"/>
        </w:rPr>
        <w:t>ir pradmenys, kurių aminorūgščių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5 </w:t>
      </w:r>
      <w:r w:rsidR="00A35957" w:rsidRPr="008F3227">
        <w:rPr>
          <w:rFonts w:ascii="Helvetica" w:hAnsi="Helvetica" w:cs="Arial"/>
          <w:sz w:val="20"/>
          <w:lang w:val="lt-LT"/>
        </w:rPr>
        <w:t>ir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6;</w:t>
      </w:r>
    </w:p>
    <w:p w14:paraId="00DF6462" w14:textId="010B78C4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FGFR3:TACC3 v3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7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8;</w:t>
      </w:r>
    </w:p>
    <w:p w14:paraId="151AA2DA" w14:textId="0B0D975E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FGFR3:TACC3 </w:t>
      </w:r>
      <w:proofErr w:type="spellStart"/>
      <w:r w:rsidRPr="008F3227">
        <w:rPr>
          <w:rFonts w:ascii="Helvetica" w:hAnsi="Helvetica" w:cs="Arial"/>
          <w:sz w:val="20"/>
          <w:lang w:val="lt-LT"/>
        </w:rPr>
        <w:t>Intron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9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10;</w:t>
      </w:r>
    </w:p>
    <w:p w14:paraId="39E62EDB" w14:textId="2E49A1DC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lastRenderedPageBreak/>
        <w:t xml:space="preserve">FGFR3:BAIAP2L1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11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12;</w:t>
      </w:r>
    </w:p>
    <w:p w14:paraId="4EA06C99" w14:textId="371B340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FGFR2:BICC1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13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14;</w:t>
      </w:r>
    </w:p>
    <w:p w14:paraId="7B73146D" w14:textId="226B418A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FGFR2:AFF3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15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16;</w:t>
      </w:r>
    </w:p>
    <w:p w14:paraId="08E39A8E" w14:textId="1F957012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FGFR2:CASP7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17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18;</w:t>
      </w:r>
    </w:p>
    <w:p w14:paraId="1EACDDEE" w14:textId="6975219F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FGFR2:CCDC6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19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20;</w:t>
      </w:r>
    </w:p>
    <w:p w14:paraId="68CAAA9B" w14:textId="52D3F570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FGFR2:OFD1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21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22;</w:t>
      </w:r>
    </w:p>
    <w:p w14:paraId="12BB13F5" w14:textId="4B3E1AF7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 R248C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23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24 </w:t>
      </w:r>
      <w:r w:rsidR="00A35957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31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32;</w:t>
      </w:r>
    </w:p>
    <w:p w14:paraId="51BA61B7" w14:textId="4090CACD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 G370C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27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28 </w:t>
      </w:r>
      <w:r w:rsidR="00A35957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35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36;</w:t>
      </w:r>
    </w:p>
    <w:p w14:paraId="18E91D41" w14:textId="743E039F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FGFR3 Y373C </w:t>
      </w:r>
      <w:r w:rsidR="00A35957" w:rsidRPr="008F3227">
        <w:rPr>
          <w:rFonts w:ascii="Helvetica" w:hAnsi="Helvetica" w:cs="Arial"/>
          <w:sz w:val="20"/>
          <w:lang w:val="lt-LT"/>
        </w:rPr>
        <w:t>ir pradmenų seka yra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29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30 </w:t>
      </w:r>
      <w:r w:rsidR="00A35957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37</w:t>
      </w:r>
      <w:r w:rsidR="00A35957" w:rsidRPr="008F3227">
        <w:rPr>
          <w:rFonts w:ascii="Helvetica" w:hAnsi="Helvetica" w:cs="Arial"/>
          <w:sz w:val="20"/>
          <w:lang w:val="lt-LT"/>
        </w:rPr>
        <w:t xml:space="preserve"> ir </w:t>
      </w:r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38;</w:t>
      </w:r>
    </w:p>
    <w:p w14:paraId="4D44A9F9" w14:textId="2BA7FE42" w:rsidR="00500B25" w:rsidRPr="008F3227" w:rsidRDefault="00CF4343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>arba bet kok</w:t>
      </w:r>
      <w:r w:rsidR="00C8722E" w:rsidRPr="008F3227">
        <w:rPr>
          <w:rFonts w:ascii="Helvetica" w:hAnsi="Helvetica" w:cs="Arial"/>
          <w:sz w:val="20"/>
          <w:lang w:val="lt-LT"/>
        </w:rPr>
        <w:t>s</w:t>
      </w:r>
      <w:r w:rsidRPr="008F3227">
        <w:rPr>
          <w:rFonts w:ascii="Helvetica" w:hAnsi="Helvetica" w:cs="Arial"/>
          <w:sz w:val="20"/>
          <w:lang w:val="lt-LT"/>
        </w:rPr>
        <w:t xml:space="preserve"> jų derin</w:t>
      </w:r>
      <w:r w:rsidR="00C8722E" w:rsidRPr="008F3227">
        <w:rPr>
          <w:rFonts w:ascii="Helvetica" w:hAnsi="Helvetica" w:cs="Arial"/>
          <w:sz w:val="20"/>
          <w:lang w:val="lt-LT"/>
        </w:rPr>
        <w:t>ys</w:t>
      </w:r>
      <w:r w:rsidR="00231932" w:rsidRPr="008F3227">
        <w:rPr>
          <w:rFonts w:ascii="Helvetica" w:hAnsi="Helvetica" w:cs="Arial"/>
          <w:sz w:val="20"/>
          <w:lang w:val="lt-LT"/>
        </w:rPr>
        <w:t>.</w:t>
      </w:r>
    </w:p>
    <w:p w14:paraId="5E39821B" w14:textId="1595FD33" w:rsidR="00A51B6C" w:rsidRPr="008F3227" w:rsidRDefault="00A51B6C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B9247C" w14:textId="76E8184D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6.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 ankstesnių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C8722E" w:rsidRPr="008F3227">
        <w:rPr>
          <w:rFonts w:ascii="Helvetica" w:hAnsi="Helvetica" w:cs="Arial"/>
          <w:sz w:val="20"/>
          <w:lang w:val="lt-LT"/>
        </w:rPr>
        <w:t>kur įvertinimas apima</w:t>
      </w:r>
      <w:r w:rsidRPr="008F3227">
        <w:rPr>
          <w:rFonts w:ascii="Helvetica" w:hAnsi="Helvetica" w:cs="Arial"/>
          <w:sz w:val="20"/>
          <w:lang w:val="lt-LT"/>
        </w:rPr>
        <w:t>:</w:t>
      </w:r>
    </w:p>
    <w:p w14:paraId="66EA8F9E" w14:textId="43249CFC" w:rsidR="00231932" w:rsidRPr="008F3227" w:rsidRDefault="00C8722E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RNR išskyrimą iš biologinio mėginio ir </w:t>
      </w:r>
      <w:proofErr w:type="spellStart"/>
      <w:r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sintezę iš išskirtos RNR</w:t>
      </w:r>
      <w:r w:rsidR="00231932" w:rsidRPr="008F3227">
        <w:rPr>
          <w:rFonts w:ascii="Helvetica" w:hAnsi="Helvetica" w:cs="Arial"/>
          <w:sz w:val="20"/>
          <w:lang w:val="lt-LT"/>
        </w:rPr>
        <w:t xml:space="preserve">; </w:t>
      </w:r>
      <w:r w:rsidRPr="008F3227">
        <w:rPr>
          <w:rFonts w:ascii="Helvetica" w:hAnsi="Helvetica" w:cs="Arial"/>
          <w:sz w:val="20"/>
          <w:lang w:val="lt-LT"/>
        </w:rPr>
        <w:t>pasirinktinai, kur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Pr="008F3227">
        <w:rPr>
          <w:rFonts w:ascii="Helvetica" w:hAnsi="Helvetica" w:cs="Arial"/>
          <w:sz w:val="20"/>
          <w:lang w:val="lt-LT"/>
        </w:rPr>
        <w:t xml:space="preserve">metodas papildomai apima išankstinį </w:t>
      </w:r>
      <w:proofErr w:type="spellStart"/>
      <w:r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F3227">
        <w:rPr>
          <w:rFonts w:ascii="Helvetica" w:hAnsi="Helvetica" w:cs="Arial"/>
          <w:sz w:val="20"/>
          <w:lang w:val="lt-LT"/>
        </w:rPr>
        <w:t>amplifikavimą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prieš </w:t>
      </w:r>
      <w:proofErr w:type="spellStart"/>
      <w:r w:rsidRPr="008F3227">
        <w:rPr>
          <w:rFonts w:ascii="Helvetica" w:hAnsi="Helvetica" w:cs="Arial"/>
          <w:sz w:val="20"/>
          <w:lang w:val="lt-LT"/>
        </w:rPr>
        <w:t>amplifikavimo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pakopą</w:t>
      </w:r>
      <w:r w:rsidR="00231932" w:rsidRPr="008F3227">
        <w:rPr>
          <w:rFonts w:ascii="Helvetica" w:hAnsi="Helvetica" w:cs="Arial"/>
          <w:sz w:val="20"/>
          <w:lang w:val="lt-LT"/>
        </w:rPr>
        <w:t>.</w:t>
      </w:r>
    </w:p>
    <w:p w14:paraId="7A79AB07" w14:textId="77777777" w:rsidR="00803CC1" w:rsidRPr="008F3227" w:rsidRDefault="00803CC1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48FAB" w14:textId="56083DD3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7.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</w:t>
      </w:r>
      <w:r w:rsidRPr="008F3227">
        <w:rPr>
          <w:rFonts w:ascii="Helvetica" w:hAnsi="Helvetica" w:cs="Arial"/>
          <w:sz w:val="20"/>
          <w:lang w:val="lt-LT"/>
        </w:rPr>
        <w:t xml:space="preserve"> 1(a) </w:t>
      </w:r>
      <w:r w:rsidR="00C8722E" w:rsidRPr="008F3227">
        <w:rPr>
          <w:rFonts w:ascii="Helvetica" w:hAnsi="Helvetica" w:cs="Arial"/>
          <w:sz w:val="20"/>
          <w:lang w:val="lt-LT"/>
        </w:rPr>
        <w:t xml:space="preserve">arba </w:t>
      </w:r>
      <w:r w:rsidRPr="008F3227">
        <w:rPr>
          <w:rFonts w:ascii="Helvetica" w:hAnsi="Helvetica" w:cs="Arial"/>
          <w:sz w:val="20"/>
          <w:lang w:val="lt-LT"/>
        </w:rPr>
        <w:t>2-6</w:t>
      </w:r>
      <w:r w:rsidR="00C8722E" w:rsidRPr="008F3227">
        <w:rPr>
          <w:rFonts w:ascii="Helvetica" w:hAnsi="Helvetica" w:cs="Arial"/>
          <w:sz w:val="20"/>
          <w:lang w:val="lt-LT"/>
        </w:rPr>
        <w:t xml:space="preserve">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C8722E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25A50"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C8722E" w:rsidRPr="008F3227">
        <w:rPr>
          <w:rFonts w:ascii="Helvetica" w:hAnsi="Helvetica" w:cs="Arial"/>
          <w:sz w:val="20"/>
          <w:lang w:val="lt-LT"/>
        </w:rPr>
        <w:t xml:space="preserve">yra iš anksto </w:t>
      </w:r>
      <w:proofErr w:type="spellStart"/>
      <w:r w:rsidR="00C8722E" w:rsidRPr="008F3227">
        <w:rPr>
          <w:rFonts w:ascii="Helvetica" w:hAnsi="Helvetica" w:cs="Arial"/>
          <w:sz w:val="20"/>
          <w:lang w:val="lt-LT"/>
        </w:rPr>
        <w:t>amplifikuota</w:t>
      </w:r>
      <w:proofErr w:type="spellEnd"/>
      <w:r w:rsidRPr="008F3227">
        <w:rPr>
          <w:rFonts w:ascii="Helvetica" w:hAnsi="Helvetica" w:cs="Arial"/>
          <w:sz w:val="20"/>
          <w:lang w:val="lt-LT"/>
        </w:rPr>
        <w:t>.</w:t>
      </w:r>
    </w:p>
    <w:p w14:paraId="136557A8" w14:textId="77777777" w:rsidR="00803CC1" w:rsidRPr="008F3227" w:rsidRDefault="00803CC1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1F4EF1" w14:textId="346304A8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8.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</w:t>
      </w:r>
      <w:r w:rsidRPr="008F3227">
        <w:rPr>
          <w:rFonts w:ascii="Helvetica" w:hAnsi="Helvetica" w:cs="Arial"/>
          <w:sz w:val="20"/>
          <w:lang w:val="lt-LT"/>
        </w:rPr>
        <w:t xml:space="preserve"> 1(a) </w:t>
      </w:r>
      <w:r w:rsidR="00C8722E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2-7</w:t>
      </w:r>
      <w:r w:rsidR="00C8722E" w:rsidRPr="008F3227">
        <w:rPr>
          <w:rFonts w:ascii="Helvetica" w:hAnsi="Helvetica" w:cs="Arial"/>
          <w:sz w:val="20"/>
          <w:lang w:val="lt-LT"/>
        </w:rPr>
        <w:t xml:space="preserve">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C8722E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F3227">
        <w:rPr>
          <w:rFonts w:ascii="Helvetica" w:hAnsi="Helvetica" w:cs="Arial"/>
          <w:sz w:val="20"/>
          <w:lang w:val="lt-LT"/>
        </w:rPr>
        <w:t>amplif</w:t>
      </w:r>
      <w:r w:rsidR="00C8722E" w:rsidRPr="008F3227">
        <w:rPr>
          <w:rFonts w:ascii="Helvetica" w:hAnsi="Helvetica" w:cs="Arial"/>
          <w:sz w:val="20"/>
          <w:lang w:val="lt-LT"/>
        </w:rPr>
        <w:t>ikavimo</w:t>
      </w:r>
      <w:proofErr w:type="spellEnd"/>
      <w:r w:rsidR="00C8722E" w:rsidRPr="008F3227">
        <w:rPr>
          <w:rFonts w:ascii="Helvetica" w:hAnsi="Helvetica" w:cs="Arial"/>
          <w:sz w:val="20"/>
          <w:lang w:val="lt-LT"/>
        </w:rPr>
        <w:t xml:space="preserve"> pakopa apima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C8722E" w:rsidRPr="008F3227">
        <w:rPr>
          <w:rFonts w:ascii="Helvetica" w:hAnsi="Helvetica" w:cs="Arial"/>
          <w:sz w:val="20"/>
          <w:lang w:val="lt-LT"/>
        </w:rPr>
        <w:t>realaus laiko PGR atlikimą</w:t>
      </w:r>
      <w:r w:rsidRPr="008F3227">
        <w:rPr>
          <w:rFonts w:ascii="Helvetica" w:hAnsi="Helvetica" w:cs="Arial"/>
          <w:sz w:val="20"/>
          <w:lang w:val="lt-LT"/>
        </w:rPr>
        <w:t>;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pasirinktinai, 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realaus laiko PGR yra atliekamas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su vienu arba daugiau zondų, apimančių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bookmarkStart w:id="0" w:name="_Hlk101194148"/>
      <w:r w:rsidRPr="008F3227">
        <w:rPr>
          <w:rFonts w:ascii="Helvetica" w:hAnsi="Helvetica" w:cs="Arial"/>
          <w:sz w:val="20"/>
          <w:lang w:val="lt-LT"/>
        </w:rPr>
        <w:t xml:space="preserve">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43, SEQ ID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44,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45,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46,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47,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48,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49,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50, SEQ ID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51,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52,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53,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54</w:t>
      </w:r>
      <w:bookmarkEnd w:id="0"/>
      <w:r w:rsidR="000001EB" w:rsidRPr="008F3227">
        <w:rPr>
          <w:rFonts w:ascii="Helvetica" w:hAnsi="Helvetica" w:cs="Arial"/>
          <w:sz w:val="20"/>
          <w:lang w:val="lt-LT"/>
        </w:rPr>
        <w:t xml:space="preserve"> ir (arba)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55; </w:t>
      </w:r>
      <w:r w:rsidR="000001EB" w:rsidRPr="008F3227">
        <w:rPr>
          <w:rFonts w:ascii="Helvetica" w:hAnsi="Helvetica" w:cs="Arial"/>
          <w:sz w:val="20"/>
          <w:lang w:val="lt-LT"/>
        </w:rPr>
        <w:t>ir (arba)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0001EB" w:rsidRPr="008F3227">
        <w:rPr>
          <w:rFonts w:ascii="Helvetica" w:hAnsi="Helvetica" w:cs="Arial"/>
          <w:sz w:val="20"/>
          <w:lang w:val="lt-LT"/>
        </w:rPr>
        <w:t>pasirinktinai, 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realaus laiko PGR yra atliekamas su vienu arba daugiau</w:t>
      </w:r>
      <w:r w:rsidRPr="008F3227">
        <w:rPr>
          <w:rFonts w:ascii="Helvetica" w:hAnsi="Helvetica" w:cs="Arial"/>
          <w:sz w:val="20"/>
          <w:lang w:val="lt-LT"/>
        </w:rPr>
        <w:t xml:space="preserve"> 3’ blo</w:t>
      </w:r>
      <w:r w:rsidR="000001EB" w:rsidRPr="008F3227">
        <w:rPr>
          <w:rFonts w:ascii="Helvetica" w:hAnsi="Helvetica" w:cs="Arial"/>
          <w:sz w:val="20"/>
          <w:lang w:val="lt-LT"/>
        </w:rPr>
        <w:t xml:space="preserve">kuojančių </w:t>
      </w:r>
      <w:proofErr w:type="spellStart"/>
      <w:r w:rsidR="000001EB" w:rsidRPr="008F3227">
        <w:rPr>
          <w:rFonts w:ascii="Helvetica" w:hAnsi="Helvetica" w:cs="Arial"/>
          <w:sz w:val="20"/>
          <w:lang w:val="lt-LT"/>
        </w:rPr>
        <w:t>oligonukleotidų</w:t>
      </w:r>
      <w:proofErr w:type="spellEnd"/>
      <w:r w:rsidR="000001EB" w:rsidRPr="008F3227">
        <w:rPr>
          <w:rFonts w:ascii="Helvetica" w:hAnsi="Helvetica" w:cs="Arial"/>
          <w:sz w:val="20"/>
          <w:lang w:val="lt-LT"/>
        </w:rPr>
        <w:t>,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apimančių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 xml:space="preserve">39,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41,</w:t>
      </w:r>
      <w:r w:rsidR="00803CC1"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>ir (arba)</w:t>
      </w:r>
      <w:r w:rsidRPr="008F3227">
        <w:rPr>
          <w:rFonts w:ascii="Helvetica" w:hAnsi="Helvetica" w:cs="Arial"/>
          <w:sz w:val="20"/>
          <w:lang w:val="lt-LT"/>
        </w:rPr>
        <w:t xml:space="preserve"> SEQ ID </w:t>
      </w:r>
      <w:r w:rsidR="00A35957" w:rsidRPr="008F3227">
        <w:rPr>
          <w:rFonts w:ascii="Helvetica" w:hAnsi="Helvetica" w:cs="Arial"/>
          <w:sz w:val="20"/>
          <w:lang w:val="lt-LT"/>
        </w:rPr>
        <w:t xml:space="preserve">Nr. </w:t>
      </w:r>
      <w:r w:rsidRPr="008F3227">
        <w:rPr>
          <w:rFonts w:ascii="Helvetica" w:hAnsi="Helvetica" w:cs="Arial"/>
          <w:sz w:val="20"/>
          <w:lang w:val="lt-LT"/>
        </w:rPr>
        <w:t>42.</w:t>
      </w:r>
    </w:p>
    <w:p w14:paraId="0B444353" w14:textId="71DA376A" w:rsidR="00231932" w:rsidRPr="008F3227" w:rsidRDefault="00231932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8CD6F7" w14:textId="4C2AB12B" w:rsidR="00231932" w:rsidRPr="008F3227" w:rsidRDefault="00231932" w:rsidP="008F322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F3227">
        <w:rPr>
          <w:rFonts w:ascii="Helvetica" w:hAnsi="Helvetica" w:cs="Arial"/>
          <w:sz w:val="20"/>
          <w:lang w:val="lt-LT"/>
        </w:rPr>
        <w:t xml:space="preserve">9. </w:t>
      </w:r>
      <w:r w:rsidR="00D25A50" w:rsidRPr="008F3227">
        <w:rPr>
          <w:rFonts w:ascii="Helvetica" w:hAnsi="Helvetica" w:cs="Arial"/>
          <w:sz w:val="20"/>
          <w:lang w:val="lt-LT"/>
        </w:rPr>
        <w:t>Būdas pagal bet kurį vieną iš</w:t>
      </w:r>
      <w:r w:rsidRPr="008F3227">
        <w:rPr>
          <w:rFonts w:ascii="Helvetica" w:hAnsi="Helvetica" w:cs="Arial"/>
          <w:sz w:val="20"/>
          <w:lang w:val="lt-LT"/>
        </w:rPr>
        <w:t xml:space="preserve"> 1(a) </w:t>
      </w:r>
      <w:r w:rsidR="000001EB" w:rsidRPr="008F3227">
        <w:rPr>
          <w:rFonts w:ascii="Helvetica" w:hAnsi="Helvetica" w:cs="Arial"/>
          <w:sz w:val="20"/>
          <w:lang w:val="lt-LT"/>
        </w:rPr>
        <w:t>arba</w:t>
      </w:r>
      <w:r w:rsidRPr="008F3227">
        <w:rPr>
          <w:rFonts w:ascii="Helvetica" w:hAnsi="Helvetica" w:cs="Arial"/>
          <w:sz w:val="20"/>
          <w:lang w:val="lt-LT"/>
        </w:rPr>
        <w:t xml:space="preserve"> 2-8</w:t>
      </w:r>
      <w:r w:rsidR="000001EB" w:rsidRPr="008F3227">
        <w:rPr>
          <w:rFonts w:ascii="Helvetica" w:hAnsi="Helvetica" w:cs="Arial"/>
          <w:sz w:val="20"/>
          <w:lang w:val="lt-LT"/>
        </w:rPr>
        <w:t xml:space="preserve"> punktų</w:t>
      </w:r>
      <w:r w:rsidRPr="008F3227">
        <w:rPr>
          <w:rFonts w:ascii="Helvetica" w:hAnsi="Helvetica" w:cs="Arial"/>
          <w:sz w:val="20"/>
          <w:lang w:val="lt-LT"/>
        </w:rPr>
        <w:t xml:space="preserve">, </w:t>
      </w:r>
      <w:r w:rsidR="000001EB" w:rsidRPr="008F3227">
        <w:rPr>
          <w:rFonts w:ascii="Helvetica" w:hAnsi="Helvetica" w:cs="Arial"/>
          <w:sz w:val="20"/>
          <w:lang w:val="lt-LT"/>
        </w:rPr>
        <w:t>kur</w:t>
      </w:r>
      <w:r w:rsidRPr="008F3227">
        <w:rPr>
          <w:rFonts w:ascii="Helvetica" w:hAnsi="Helvetica" w:cs="Arial"/>
          <w:sz w:val="20"/>
          <w:lang w:val="lt-LT"/>
        </w:rPr>
        <w:t xml:space="preserve"> </w:t>
      </w:r>
      <w:r w:rsidR="000001EB" w:rsidRPr="008F3227">
        <w:rPr>
          <w:rFonts w:ascii="Helvetica" w:hAnsi="Helvetica" w:cs="Arial"/>
          <w:sz w:val="20"/>
          <w:lang w:val="lt-LT"/>
        </w:rPr>
        <w:t xml:space="preserve">minėtas nustatymo etapas apima </w:t>
      </w:r>
      <w:proofErr w:type="spellStart"/>
      <w:r w:rsidR="000001EB" w:rsidRPr="008F3227">
        <w:rPr>
          <w:rFonts w:ascii="Helvetica" w:hAnsi="Helvetica" w:cs="Arial"/>
          <w:sz w:val="20"/>
          <w:lang w:val="lt-LT"/>
        </w:rPr>
        <w:t>amplifikuotos</w:t>
      </w:r>
      <w:proofErr w:type="spellEnd"/>
      <w:r w:rsidR="000001EB"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001EB" w:rsidRPr="008F3227">
        <w:rPr>
          <w:rFonts w:ascii="Helvetica" w:hAnsi="Helvetica" w:cs="Arial"/>
          <w:sz w:val="20"/>
          <w:lang w:val="lt-LT"/>
        </w:rPr>
        <w:t>cDNR</w:t>
      </w:r>
      <w:proofErr w:type="spellEnd"/>
      <w:r w:rsidR="000001EB" w:rsidRPr="008F322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001EB" w:rsidRPr="008F3227">
        <w:rPr>
          <w:rFonts w:ascii="Helvetica" w:hAnsi="Helvetica" w:cs="Arial"/>
          <w:sz w:val="20"/>
          <w:lang w:val="lt-LT"/>
        </w:rPr>
        <w:t>sekoskaitą</w:t>
      </w:r>
      <w:proofErr w:type="spellEnd"/>
      <w:r w:rsidRPr="008F3227">
        <w:rPr>
          <w:rFonts w:ascii="Helvetica" w:hAnsi="Helvetica" w:cs="Arial"/>
          <w:sz w:val="20"/>
          <w:lang w:val="lt-LT"/>
        </w:rPr>
        <w:t>.</w:t>
      </w:r>
    </w:p>
    <w:p w14:paraId="5CFED341" w14:textId="555C2DFD" w:rsidR="00D125B0" w:rsidRPr="008F3227" w:rsidRDefault="00D125B0" w:rsidP="008F322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D125B0" w:rsidRPr="008F3227" w:rsidSect="008F322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0ACE" w14:textId="77777777" w:rsidR="00FB6FE1" w:rsidRDefault="00FB6FE1" w:rsidP="007B0A41">
      <w:pPr>
        <w:spacing w:after="0" w:line="240" w:lineRule="auto"/>
      </w:pPr>
      <w:r>
        <w:separator/>
      </w:r>
    </w:p>
  </w:endnote>
  <w:endnote w:type="continuationSeparator" w:id="0">
    <w:p w14:paraId="253143CF" w14:textId="77777777" w:rsidR="00FB6FE1" w:rsidRDefault="00FB6FE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12E1" w14:textId="77777777" w:rsidR="00FB6FE1" w:rsidRDefault="00FB6FE1" w:rsidP="007B0A41">
      <w:pPr>
        <w:spacing w:after="0" w:line="240" w:lineRule="auto"/>
      </w:pPr>
      <w:r>
        <w:separator/>
      </w:r>
    </w:p>
  </w:footnote>
  <w:footnote w:type="continuationSeparator" w:id="0">
    <w:p w14:paraId="2E32B6A5" w14:textId="77777777" w:rsidR="00FB6FE1" w:rsidRDefault="00FB6FE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01EB"/>
    <w:rsid w:val="00057D89"/>
    <w:rsid w:val="00065F0D"/>
    <w:rsid w:val="00070D8A"/>
    <w:rsid w:val="00092D0B"/>
    <w:rsid w:val="000D0403"/>
    <w:rsid w:val="00120AC9"/>
    <w:rsid w:val="001308ED"/>
    <w:rsid w:val="001668DF"/>
    <w:rsid w:val="00176476"/>
    <w:rsid w:val="00192F10"/>
    <w:rsid w:val="001943F8"/>
    <w:rsid w:val="001A3E8E"/>
    <w:rsid w:val="001C33D1"/>
    <w:rsid w:val="001F266E"/>
    <w:rsid w:val="00223910"/>
    <w:rsid w:val="00224A51"/>
    <w:rsid w:val="00231932"/>
    <w:rsid w:val="00234E11"/>
    <w:rsid w:val="00260D4E"/>
    <w:rsid w:val="002837FC"/>
    <w:rsid w:val="002B66D9"/>
    <w:rsid w:val="00316FB7"/>
    <w:rsid w:val="00334D00"/>
    <w:rsid w:val="003459A3"/>
    <w:rsid w:val="003700E9"/>
    <w:rsid w:val="0039367C"/>
    <w:rsid w:val="003A0D71"/>
    <w:rsid w:val="003D4001"/>
    <w:rsid w:val="003E51FF"/>
    <w:rsid w:val="00412B35"/>
    <w:rsid w:val="00416928"/>
    <w:rsid w:val="00424E46"/>
    <w:rsid w:val="00431822"/>
    <w:rsid w:val="004A11D8"/>
    <w:rsid w:val="004C1469"/>
    <w:rsid w:val="00500B25"/>
    <w:rsid w:val="00524501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3CC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8F3227"/>
    <w:rsid w:val="0090596D"/>
    <w:rsid w:val="00907FD8"/>
    <w:rsid w:val="00933933"/>
    <w:rsid w:val="009358AB"/>
    <w:rsid w:val="00947ACD"/>
    <w:rsid w:val="00963C86"/>
    <w:rsid w:val="00971B8A"/>
    <w:rsid w:val="009766FA"/>
    <w:rsid w:val="0098532A"/>
    <w:rsid w:val="00990B16"/>
    <w:rsid w:val="00992879"/>
    <w:rsid w:val="009B2E35"/>
    <w:rsid w:val="009B6C12"/>
    <w:rsid w:val="00A02F0C"/>
    <w:rsid w:val="00A22BBD"/>
    <w:rsid w:val="00A35957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30968"/>
    <w:rsid w:val="00C72847"/>
    <w:rsid w:val="00C86DA9"/>
    <w:rsid w:val="00C8722E"/>
    <w:rsid w:val="00C91715"/>
    <w:rsid w:val="00CE42D1"/>
    <w:rsid w:val="00CF4343"/>
    <w:rsid w:val="00CF70D6"/>
    <w:rsid w:val="00D125B0"/>
    <w:rsid w:val="00D15412"/>
    <w:rsid w:val="00D25A50"/>
    <w:rsid w:val="00D30F69"/>
    <w:rsid w:val="00D54A23"/>
    <w:rsid w:val="00D55A30"/>
    <w:rsid w:val="00D56D60"/>
    <w:rsid w:val="00DB375D"/>
    <w:rsid w:val="00DE3897"/>
    <w:rsid w:val="00E1104B"/>
    <w:rsid w:val="00E1543E"/>
    <w:rsid w:val="00E2583B"/>
    <w:rsid w:val="00E321B7"/>
    <w:rsid w:val="00E51443"/>
    <w:rsid w:val="00E57668"/>
    <w:rsid w:val="00F01CE8"/>
    <w:rsid w:val="00F37F4D"/>
    <w:rsid w:val="00F42837"/>
    <w:rsid w:val="00F5330D"/>
    <w:rsid w:val="00F577D6"/>
    <w:rsid w:val="00F66B57"/>
    <w:rsid w:val="00F87A00"/>
    <w:rsid w:val="00FA380A"/>
    <w:rsid w:val="00FB2032"/>
    <w:rsid w:val="00FB2D33"/>
    <w:rsid w:val="00FB6FE1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63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3564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2022-04-12T17:22:00Z</dcterms:created>
  <dcterms:modified xsi:type="dcterms:W3CDTF">2022-04-28T12:54:00Z</dcterms:modified>
</cp:coreProperties>
</file>