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6913" w14:textId="1DF7D430" w:rsidR="00A25BEF" w:rsidRPr="00CB174B" w:rsidRDefault="00B70727" w:rsidP="00CB17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174B">
        <w:rPr>
          <w:rFonts w:ascii="Helvetica" w:hAnsi="Helvetica" w:cs="Arial"/>
          <w:sz w:val="20"/>
          <w:lang w:val="lt-LT"/>
        </w:rPr>
        <w:t xml:space="preserve">1. </w:t>
      </w:r>
      <w:r w:rsidR="00A25BEF" w:rsidRPr="00CB174B">
        <w:rPr>
          <w:rFonts w:ascii="Helvetica" w:hAnsi="Helvetica" w:cs="Arial"/>
          <w:sz w:val="20"/>
          <w:lang w:val="lt-LT"/>
        </w:rPr>
        <w:t>Skystos farmacinės kompozicijos ga</w:t>
      </w:r>
      <w:r w:rsidR="006329F5" w:rsidRPr="00CB174B">
        <w:rPr>
          <w:rFonts w:ascii="Helvetica" w:hAnsi="Helvetica" w:cs="Arial"/>
          <w:sz w:val="20"/>
          <w:lang w:val="lt-LT"/>
        </w:rPr>
        <w:t>mybos</w:t>
      </w:r>
      <w:r w:rsidR="00A25BEF" w:rsidRPr="00CB174B">
        <w:rPr>
          <w:rFonts w:ascii="Helvetica" w:hAnsi="Helvetica" w:cs="Arial"/>
          <w:sz w:val="20"/>
          <w:lang w:val="lt-LT"/>
        </w:rPr>
        <w:t xml:space="preserve"> būdas, apimantis buferio įdėjimą į </w:t>
      </w:r>
      <w:proofErr w:type="spellStart"/>
      <w:r w:rsidR="00A25BEF" w:rsidRPr="00CB174B">
        <w:rPr>
          <w:rFonts w:ascii="Helvetica" w:hAnsi="Helvetica" w:cs="Arial"/>
          <w:sz w:val="20"/>
          <w:lang w:val="lt-LT"/>
        </w:rPr>
        <w:t>metotreksato</w:t>
      </w:r>
      <w:proofErr w:type="spellEnd"/>
      <w:r w:rsidR="00A25BEF" w:rsidRPr="00CB174B">
        <w:rPr>
          <w:rFonts w:ascii="Helvetica" w:hAnsi="Helvetica" w:cs="Arial"/>
          <w:sz w:val="20"/>
          <w:lang w:val="lt-LT"/>
        </w:rPr>
        <w:t xml:space="preserve"> laisvą rūgštį</w:t>
      </w:r>
      <w:r w:rsidR="006329F5" w:rsidRPr="00CB174B">
        <w:rPr>
          <w:rFonts w:ascii="Helvetica" w:hAnsi="Helvetica" w:cs="Arial"/>
          <w:sz w:val="20"/>
          <w:lang w:val="lt-LT"/>
        </w:rPr>
        <w:t xml:space="preserve"> tam</w:t>
      </w:r>
      <w:r w:rsidR="00A25BEF" w:rsidRPr="00CB174B">
        <w:rPr>
          <w:rFonts w:ascii="Helvetica" w:hAnsi="Helvetica" w:cs="Arial"/>
          <w:sz w:val="20"/>
          <w:lang w:val="lt-LT"/>
        </w:rPr>
        <w:t>, kad pH</w:t>
      </w:r>
      <w:r w:rsidR="006329F5" w:rsidRPr="00CB174B">
        <w:rPr>
          <w:rFonts w:ascii="Helvetica" w:hAnsi="Helvetica" w:cs="Arial"/>
          <w:sz w:val="20"/>
          <w:lang w:val="lt-LT"/>
        </w:rPr>
        <w:t xml:space="preserve"> vert</w:t>
      </w:r>
      <w:r w:rsidR="00E67A5B" w:rsidRPr="00CB174B">
        <w:rPr>
          <w:rFonts w:ascii="Helvetica" w:hAnsi="Helvetica" w:cs="Arial"/>
          <w:sz w:val="20"/>
          <w:lang w:val="lt-LT"/>
        </w:rPr>
        <w:t>ė būtų</w:t>
      </w:r>
      <w:r w:rsidR="00A25BEF" w:rsidRPr="00CB174B">
        <w:rPr>
          <w:rFonts w:ascii="Helvetica" w:hAnsi="Helvetica" w:cs="Arial"/>
          <w:sz w:val="20"/>
          <w:lang w:val="lt-LT"/>
        </w:rPr>
        <w:t xml:space="preserve"> </w:t>
      </w:r>
      <w:r w:rsidR="006329F5" w:rsidRPr="00CB174B">
        <w:rPr>
          <w:rFonts w:ascii="Helvetica" w:hAnsi="Helvetica" w:cs="Arial"/>
          <w:sz w:val="20"/>
          <w:lang w:val="lt-LT"/>
        </w:rPr>
        <w:t>pakoreguot</w:t>
      </w:r>
      <w:r w:rsidR="00E67A5B" w:rsidRPr="00CB174B">
        <w:rPr>
          <w:rFonts w:ascii="Helvetica" w:hAnsi="Helvetica" w:cs="Arial"/>
          <w:sz w:val="20"/>
          <w:lang w:val="lt-LT"/>
        </w:rPr>
        <w:t>a</w:t>
      </w:r>
      <w:r w:rsidR="00A25BEF" w:rsidRPr="00CB174B">
        <w:rPr>
          <w:rFonts w:ascii="Helvetica" w:hAnsi="Helvetica" w:cs="Arial"/>
          <w:sz w:val="20"/>
          <w:lang w:val="lt-LT"/>
        </w:rPr>
        <w:t xml:space="preserve"> iki 6,6</w:t>
      </w:r>
      <w:r w:rsidR="006329F5" w:rsidRPr="00CB174B">
        <w:rPr>
          <w:rFonts w:ascii="Helvetica" w:hAnsi="Helvetica" w:cs="Arial"/>
          <w:sz w:val="20"/>
          <w:lang w:val="lt-LT"/>
        </w:rPr>
        <w:t>-</w:t>
      </w:r>
      <w:r w:rsidR="00A25BEF" w:rsidRPr="00CB174B">
        <w:rPr>
          <w:rFonts w:ascii="Helvetica" w:hAnsi="Helvetica" w:cs="Arial"/>
          <w:sz w:val="20"/>
          <w:lang w:val="lt-LT"/>
        </w:rPr>
        <w:t>7, ir vieno ar</w:t>
      </w:r>
      <w:r w:rsidR="006329F5" w:rsidRPr="00CB174B">
        <w:rPr>
          <w:rFonts w:ascii="Helvetica" w:hAnsi="Helvetica" w:cs="Arial"/>
          <w:sz w:val="20"/>
          <w:lang w:val="lt-LT"/>
        </w:rPr>
        <w:t>ba</w:t>
      </w:r>
      <w:r w:rsidR="00A25BEF" w:rsidRPr="00CB174B">
        <w:rPr>
          <w:rFonts w:ascii="Helvetica" w:hAnsi="Helvetica" w:cs="Arial"/>
          <w:sz w:val="20"/>
          <w:lang w:val="lt-LT"/>
        </w:rPr>
        <w:t xml:space="preserve"> daugiau konservantų, kvapiųjų medžiagų, saldiklių ir (arba) </w:t>
      </w:r>
      <w:proofErr w:type="spellStart"/>
      <w:r w:rsidR="006329F5" w:rsidRPr="00CB174B">
        <w:rPr>
          <w:rFonts w:ascii="Helvetica" w:hAnsi="Helvetica" w:cs="Arial"/>
          <w:sz w:val="20"/>
          <w:lang w:val="lt-LT"/>
        </w:rPr>
        <w:t>bendra</w:t>
      </w:r>
      <w:r w:rsidR="00A25BEF" w:rsidRPr="00CB174B">
        <w:rPr>
          <w:rFonts w:ascii="Helvetica" w:hAnsi="Helvetica" w:cs="Arial"/>
          <w:sz w:val="20"/>
          <w:lang w:val="lt-LT"/>
        </w:rPr>
        <w:t>tirpiklių</w:t>
      </w:r>
      <w:proofErr w:type="spellEnd"/>
      <w:r w:rsidR="00A25BEF" w:rsidRPr="00CB174B">
        <w:rPr>
          <w:rFonts w:ascii="Helvetica" w:hAnsi="Helvetica" w:cs="Arial"/>
          <w:sz w:val="20"/>
          <w:lang w:val="lt-LT"/>
        </w:rPr>
        <w:t xml:space="preserve"> pridėjimą, kur kompozicijos buferi</w:t>
      </w:r>
      <w:r w:rsidR="006329F5" w:rsidRPr="00CB174B">
        <w:rPr>
          <w:rFonts w:ascii="Helvetica" w:hAnsi="Helvetica" w:cs="Arial"/>
          <w:sz w:val="20"/>
          <w:lang w:val="lt-LT"/>
        </w:rPr>
        <w:t>nė</w:t>
      </w:r>
      <w:r w:rsidR="00A25BEF" w:rsidRPr="00CB174B">
        <w:rPr>
          <w:rFonts w:ascii="Helvetica" w:hAnsi="Helvetica" w:cs="Arial"/>
          <w:sz w:val="20"/>
          <w:lang w:val="lt-LT"/>
        </w:rPr>
        <w:t xml:space="preserve"> </w:t>
      </w:r>
      <w:r w:rsidR="006329F5" w:rsidRPr="00CB174B">
        <w:rPr>
          <w:rFonts w:ascii="Helvetica" w:hAnsi="Helvetica" w:cs="Arial"/>
          <w:sz w:val="20"/>
          <w:lang w:val="lt-LT"/>
        </w:rPr>
        <w:t>talpa</w:t>
      </w:r>
      <w:r w:rsidR="00A25BEF" w:rsidRPr="00CB174B">
        <w:rPr>
          <w:rFonts w:ascii="Helvetica" w:hAnsi="Helvetica" w:cs="Arial"/>
          <w:sz w:val="20"/>
          <w:lang w:val="lt-LT"/>
        </w:rPr>
        <w:t xml:space="preserve"> yra </w:t>
      </w:r>
      <w:r w:rsidR="006329F5" w:rsidRPr="00CB174B">
        <w:rPr>
          <w:rFonts w:ascii="Helvetica" w:hAnsi="Helvetica" w:cs="Arial"/>
          <w:sz w:val="20"/>
          <w:lang w:val="lt-LT"/>
        </w:rPr>
        <w:t xml:space="preserve">ribose </w:t>
      </w:r>
      <w:r w:rsidR="00A25BEF" w:rsidRPr="00CB174B">
        <w:rPr>
          <w:rFonts w:ascii="Helvetica" w:hAnsi="Helvetica" w:cs="Arial"/>
          <w:sz w:val="20"/>
          <w:lang w:val="lt-LT"/>
        </w:rPr>
        <w:t>nuo 0,05 M iki 0,1 M.</w:t>
      </w:r>
    </w:p>
    <w:p w14:paraId="4ECC174B" w14:textId="77777777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FA559F6" w14:textId="0B837749" w:rsidR="00A25BEF" w:rsidRPr="00CB174B" w:rsidRDefault="00A25BEF" w:rsidP="00CB17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174B">
        <w:rPr>
          <w:rFonts w:ascii="Helvetica" w:hAnsi="Helvetica" w:cs="Arial"/>
          <w:sz w:val="20"/>
          <w:lang w:val="lt-LT"/>
        </w:rPr>
        <w:t>2. Būdas pagal 1 punktą, kur kompozicijos pH</w:t>
      </w:r>
      <w:r w:rsidR="006329F5" w:rsidRPr="00CB174B">
        <w:rPr>
          <w:rFonts w:ascii="Helvetica" w:hAnsi="Helvetica" w:cs="Arial"/>
          <w:sz w:val="20"/>
          <w:lang w:val="lt-LT"/>
        </w:rPr>
        <w:t xml:space="preserve"> vertė yra</w:t>
      </w:r>
      <w:r w:rsidRPr="00CB174B">
        <w:rPr>
          <w:rFonts w:ascii="Helvetica" w:hAnsi="Helvetica" w:cs="Arial"/>
          <w:sz w:val="20"/>
          <w:lang w:val="lt-LT"/>
        </w:rPr>
        <w:t xml:space="preserve"> </w:t>
      </w:r>
      <w:r w:rsidR="006329F5" w:rsidRPr="00CB174B">
        <w:rPr>
          <w:rFonts w:ascii="Helvetica" w:hAnsi="Helvetica" w:cs="Arial"/>
          <w:sz w:val="20"/>
          <w:lang w:val="lt-LT"/>
        </w:rPr>
        <w:t>pakoreguota</w:t>
      </w:r>
      <w:r w:rsidRPr="00CB174B">
        <w:rPr>
          <w:rFonts w:ascii="Helvetica" w:hAnsi="Helvetica" w:cs="Arial"/>
          <w:sz w:val="20"/>
          <w:lang w:val="lt-LT"/>
        </w:rPr>
        <w:t xml:space="preserve"> iki 6,6,</w:t>
      </w:r>
      <w:r w:rsidR="00CB174B" w:rsidRPr="00CB174B">
        <w:rPr>
          <w:rFonts w:ascii="Helvetica" w:hAnsi="Helvetica" w:cs="Arial"/>
          <w:sz w:val="20"/>
          <w:lang w:val="lt-LT"/>
        </w:rPr>
        <w:t xml:space="preserve"> </w:t>
      </w:r>
      <w:r w:rsidRPr="00CB174B">
        <w:rPr>
          <w:rFonts w:ascii="Helvetica" w:hAnsi="Helvetica" w:cs="Arial"/>
          <w:sz w:val="20"/>
          <w:lang w:val="lt-LT"/>
        </w:rPr>
        <w:t>6,7,</w:t>
      </w:r>
      <w:r w:rsidR="00CB174B" w:rsidRPr="00CB174B">
        <w:rPr>
          <w:rFonts w:ascii="Helvetica" w:hAnsi="Helvetica" w:cs="Arial"/>
          <w:sz w:val="20"/>
          <w:lang w:val="lt-LT"/>
        </w:rPr>
        <w:t xml:space="preserve"> </w:t>
      </w:r>
      <w:r w:rsidRPr="00CB174B">
        <w:rPr>
          <w:rFonts w:ascii="Helvetica" w:hAnsi="Helvetica" w:cs="Arial"/>
          <w:sz w:val="20"/>
          <w:lang w:val="lt-LT"/>
        </w:rPr>
        <w:t>6,8,</w:t>
      </w:r>
      <w:r w:rsidR="00CB174B" w:rsidRPr="00CB174B">
        <w:rPr>
          <w:rFonts w:ascii="Helvetica" w:hAnsi="Helvetica" w:cs="Arial"/>
          <w:sz w:val="20"/>
          <w:lang w:val="lt-LT"/>
        </w:rPr>
        <w:t xml:space="preserve"> </w:t>
      </w:r>
      <w:r w:rsidRPr="00CB174B">
        <w:rPr>
          <w:rFonts w:ascii="Helvetica" w:hAnsi="Helvetica" w:cs="Arial"/>
          <w:sz w:val="20"/>
          <w:lang w:val="lt-LT"/>
        </w:rPr>
        <w:t>6,9</w:t>
      </w:r>
      <w:r w:rsidR="00CB174B" w:rsidRPr="00CB174B">
        <w:rPr>
          <w:rFonts w:ascii="Helvetica" w:hAnsi="Helvetica" w:cs="Arial"/>
          <w:sz w:val="20"/>
          <w:lang w:val="lt-LT"/>
        </w:rPr>
        <w:t xml:space="preserve"> </w:t>
      </w:r>
      <w:r w:rsidRPr="00CB174B">
        <w:rPr>
          <w:rFonts w:ascii="Helvetica" w:hAnsi="Helvetica" w:cs="Arial"/>
          <w:sz w:val="20"/>
          <w:lang w:val="lt-LT"/>
        </w:rPr>
        <w:t>arba 7.</w:t>
      </w:r>
    </w:p>
    <w:p w14:paraId="3C3D3578" w14:textId="77777777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98BD50B" w14:textId="13BD356C" w:rsidR="00A25BEF" w:rsidRPr="00CB174B" w:rsidRDefault="00A25BEF" w:rsidP="00CB17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174B">
        <w:rPr>
          <w:rFonts w:ascii="Helvetica" w:hAnsi="Helvetica" w:cs="Arial"/>
          <w:sz w:val="20"/>
          <w:lang w:val="lt-LT"/>
        </w:rPr>
        <w:t>3. Būdas pagal bet kurį ankstesnį punktą, kur kompozicijos buferi</w:t>
      </w:r>
      <w:r w:rsidR="006A41B0" w:rsidRPr="00CB174B">
        <w:rPr>
          <w:rFonts w:ascii="Helvetica" w:hAnsi="Helvetica" w:cs="Arial"/>
          <w:sz w:val="20"/>
          <w:lang w:val="lt-LT"/>
        </w:rPr>
        <w:t>nė</w:t>
      </w:r>
      <w:r w:rsidRPr="00CB174B">
        <w:rPr>
          <w:rFonts w:ascii="Helvetica" w:hAnsi="Helvetica" w:cs="Arial"/>
          <w:sz w:val="20"/>
          <w:lang w:val="lt-LT"/>
        </w:rPr>
        <w:t xml:space="preserve"> </w:t>
      </w:r>
      <w:r w:rsidR="006A41B0" w:rsidRPr="00CB174B">
        <w:rPr>
          <w:rFonts w:ascii="Helvetica" w:hAnsi="Helvetica" w:cs="Arial"/>
          <w:sz w:val="20"/>
          <w:lang w:val="lt-LT"/>
        </w:rPr>
        <w:t>talpa</w:t>
      </w:r>
      <w:r w:rsidRPr="00CB174B">
        <w:rPr>
          <w:rFonts w:ascii="Helvetica" w:hAnsi="Helvetica" w:cs="Arial"/>
          <w:sz w:val="20"/>
          <w:lang w:val="lt-LT"/>
        </w:rPr>
        <w:t xml:space="preserve"> </w:t>
      </w:r>
      <w:r w:rsidR="006A41B0" w:rsidRPr="00CB174B">
        <w:rPr>
          <w:rFonts w:ascii="Helvetica" w:hAnsi="Helvetica" w:cs="Arial"/>
          <w:sz w:val="20"/>
          <w:lang w:val="lt-LT"/>
        </w:rPr>
        <w:t>lygi</w:t>
      </w:r>
      <w:r w:rsidRPr="00CB174B">
        <w:rPr>
          <w:rFonts w:ascii="Helvetica" w:hAnsi="Helvetica" w:cs="Arial"/>
          <w:sz w:val="20"/>
          <w:lang w:val="lt-LT"/>
        </w:rPr>
        <w:t xml:space="preserve"> 0,05 M.</w:t>
      </w:r>
    </w:p>
    <w:p w14:paraId="643EFF59" w14:textId="77777777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C40D1A" w14:textId="5CB73AB6" w:rsidR="00A25BEF" w:rsidRPr="00CB174B" w:rsidRDefault="00A25BEF" w:rsidP="00CB17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174B">
        <w:rPr>
          <w:rFonts w:ascii="Helvetica" w:hAnsi="Helvetica" w:cs="Arial"/>
          <w:sz w:val="20"/>
          <w:lang w:val="lt-LT"/>
        </w:rPr>
        <w:t xml:space="preserve">4. Būdas pagal bet kurį ankstesnį punktą, kur buferis yra natrio </w:t>
      </w:r>
      <w:proofErr w:type="spellStart"/>
      <w:r w:rsidRPr="00CB174B">
        <w:rPr>
          <w:rFonts w:ascii="Helvetica" w:hAnsi="Helvetica" w:cs="Arial"/>
          <w:sz w:val="20"/>
          <w:lang w:val="lt-LT"/>
        </w:rPr>
        <w:t>citratinis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buferis arba fosfatinis buferis.</w:t>
      </w:r>
    </w:p>
    <w:p w14:paraId="13BADDF3" w14:textId="77777777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7DFA924" w14:textId="763F467E" w:rsidR="00A25BEF" w:rsidRPr="00CB174B" w:rsidRDefault="00A25BEF" w:rsidP="00CB17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174B">
        <w:rPr>
          <w:rFonts w:ascii="Helvetica" w:hAnsi="Helvetica" w:cs="Arial"/>
          <w:sz w:val="20"/>
          <w:lang w:val="lt-LT"/>
        </w:rPr>
        <w:t>5. Būdas pagal bet kurį ankstesnį punktą, kur skysta kompozicija yra tirpalas arba suspensija.</w:t>
      </w:r>
    </w:p>
    <w:p w14:paraId="7974DC65" w14:textId="77777777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B39D236" w14:textId="1537D2AF" w:rsidR="00A25BEF" w:rsidRPr="00CB174B" w:rsidRDefault="00A25BEF" w:rsidP="00CB17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174B">
        <w:rPr>
          <w:rFonts w:ascii="Helvetica" w:hAnsi="Helvetica" w:cs="Arial"/>
          <w:sz w:val="20"/>
          <w:lang w:val="lt-LT"/>
        </w:rPr>
        <w:t xml:space="preserve">6. Būdas pagal bet kurį ankstesnį punktą, kur kompozicija papildomai apima vieną arba daugiau konservantų, kur vienas arba daugiau konservantų apima etilo </w:t>
      </w:r>
      <w:proofErr w:type="spellStart"/>
      <w:r w:rsidRPr="00CB174B">
        <w:rPr>
          <w:rFonts w:ascii="Helvetica" w:hAnsi="Helvetica" w:cs="Arial"/>
          <w:sz w:val="20"/>
          <w:lang w:val="lt-LT"/>
        </w:rPr>
        <w:t>parahidroksibenzoatą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ir</w:t>
      </w:r>
      <w:r w:rsidR="006A41B0" w:rsidRPr="00CB174B">
        <w:rPr>
          <w:rFonts w:ascii="Helvetica" w:hAnsi="Helvetica" w:cs="Arial"/>
          <w:sz w:val="20"/>
          <w:lang w:val="lt-LT"/>
        </w:rPr>
        <w:t xml:space="preserve"> (</w:t>
      </w:r>
      <w:r w:rsidRPr="00CB174B">
        <w:rPr>
          <w:rFonts w:ascii="Helvetica" w:hAnsi="Helvetica" w:cs="Arial"/>
          <w:sz w:val="20"/>
          <w:lang w:val="lt-LT"/>
        </w:rPr>
        <w:t>arba</w:t>
      </w:r>
      <w:r w:rsidR="006A41B0" w:rsidRPr="00CB174B">
        <w:rPr>
          <w:rFonts w:ascii="Helvetica" w:hAnsi="Helvetica" w:cs="Arial"/>
          <w:sz w:val="20"/>
          <w:lang w:val="lt-LT"/>
        </w:rPr>
        <w:t>)</w:t>
      </w:r>
      <w:r w:rsidRPr="00CB174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B174B">
        <w:rPr>
          <w:rFonts w:ascii="Helvetica" w:hAnsi="Helvetica" w:cs="Arial"/>
          <w:sz w:val="20"/>
          <w:lang w:val="lt-LT"/>
        </w:rPr>
        <w:t>metilparahidroksibenzoatą</w:t>
      </w:r>
      <w:proofErr w:type="spellEnd"/>
      <w:r w:rsidRPr="00CB174B">
        <w:rPr>
          <w:rFonts w:ascii="Helvetica" w:hAnsi="Helvetica" w:cs="Arial"/>
          <w:sz w:val="20"/>
          <w:lang w:val="lt-LT"/>
        </w:rPr>
        <w:t>.</w:t>
      </w:r>
    </w:p>
    <w:p w14:paraId="20A1A77F" w14:textId="77777777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27CE49E" w14:textId="7E2DE9F9" w:rsidR="00A25BEF" w:rsidRPr="00CB174B" w:rsidRDefault="00A25BEF" w:rsidP="00CB17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174B">
        <w:rPr>
          <w:rFonts w:ascii="Helvetica" w:hAnsi="Helvetica" w:cs="Arial"/>
          <w:sz w:val="20"/>
          <w:lang w:val="lt-LT"/>
        </w:rPr>
        <w:t xml:space="preserve">7. </w:t>
      </w:r>
      <w:r w:rsidR="00E67A5B" w:rsidRPr="00CB174B">
        <w:rPr>
          <w:rFonts w:ascii="Helvetica" w:hAnsi="Helvetica" w:cs="Arial"/>
          <w:sz w:val="20"/>
          <w:lang w:val="lt-LT"/>
        </w:rPr>
        <w:t>Būdas pagal bet kurį ankstesnį punktą</w:t>
      </w:r>
      <w:r w:rsidRPr="00CB174B">
        <w:rPr>
          <w:rFonts w:ascii="Helvetica" w:hAnsi="Helvetica" w:cs="Arial"/>
          <w:sz w:val="20"/>
          <w:lang w:val="lt-LT"/>
        </w:rPr>
        <w:t>, kur kompozicija papildomai apima vieną arba daugiau kvapiųjų junginių ir</w:t>
      </w:r>
      <w:r w:rsidR="006A41B0" w:rsidRPr="00CB174B">
        <w:rPr>
          <w:rFonts w:ascii="Helvetica" w:hAnsi="Helvetica" w:cs="Arial"/>
          <w:sz w:val="20"/>
          <w:lang w:val="lt-LT"/>
        </w:rPr>
        <w:t xml:space="preserve"> (</w:t>
      </w:r>
      <w:r w:rsidRPr="00CB174B">
        <w:rPr>
          <w:rFonts w:ascii="Helvetica" w:hAnsi="Helvetica" w:cs="Arial"/>
          <w:sz w:val="20"/>
          <w:lang w:val="lt-LT"/>
        </w:rPr>
        <w:t>arba</w:t>
      </w:r>
      <w:r w:rsidR="006A41B0" w:rsidRPr="00CB174B">
        <w:rPr>
          <w:rFonts w:ascii="Helvetica" w:hAnsi="Helvetica" w:cs="Arial"/>
          <w:sz w:val="20"/>
          <w:lang w:val="lt-LT"/>
        </w:rPr>
        <w:t>)</w:t>
      </w:r>
      <w:r w:rsidRPr="00CB174B">
        <w:rPr>
          <w:rFonts w:ascii="Helvetica" w:hAnsi="Helvetica" w:cs="Arial"/>
          <w:sz w:val="20"/>
          <w:lang w:val="lt-LT"/>
        </w:rPr>
        <w:t xml:space="preserve"> saldiklių, kur vienas arba daugiau kvapiųjų medžiagų </w:t>
      </w:r>
      <w:r w:rsidR="006A41B0" w:rsidRPr="00CB174B">
        <w:rPr>
          <w:rFonts w:ascii="Helvetica" w:hAnsi="Helvetica" w:cs="Arial"/>
          <w:sz w:val="20"/>
          <w:lang w:val="lt-LT"/>
        </w:rPr>
        <w:t>ir (arba)</w:t>
      </w:r>
      <w:r w:rsidRPr="00CB174B">
        <w:rPr>
          <w:rFonts w:ascii="Helvetica" w:hAnsi="Helvetica" w:cs="Arial"/>
          <w:sz w:val="20"/>
          <w:lang w:val="lt-LT"/>
        </w:rPr>
        <w:t xml:space="preserve"> saldiklių apima apelsinų skonį arba uogų skonį </w:t>
      </w:r>
      <w:r w:rsidR="006A41B0" w:rsidRPr="00CB174B">
        <w:rPr>
          <w:rFonts w:ascii="Helvetica" w:hAnsi="Helvetica" w:cs="Arial"/>
          <w:sz w:val="20"/>
          <w:lang w:val="lt-LT"/>
        </w:rPr>
        <w:t>ir (arba)</w:t>
      </w:r>
      <w:r w:rsidRPr="00CB174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B174B">
        <w:rPr>
          <w:rFonts w:ascii="Helvetica" w:hAnsi="Helvetica" w:cs="Arial"/>
          <w:sz w:val="20"/>
          <w:lang w:val="lt-LT"/>
        </w:rPr>
        <w:t>sukralozę</w:t>
      </w:r>
      <w:proofErr w:type="spellEnd"/>
      <w:r w:rsidRPr="00CB174B">
        <w:rPr>
          <w:rFonts w:ascii="Helvetica" w:hAnsi="Helvetica" w:cs="Arial"/>
          <w:sz w:val="20"/>
          <w:lang w:val="lt-LT"/>
        </w:rPr>
        <w:t>.</w:t>
      </w:r>
    </w:p>
    <w:p w14:paraId="4A776F39" w14:textId="77777777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079BCB" w14:textId="7CE73B8B" w:rsidR="00A25BEF" w:rsidRPr="00CB174B" w:rsidRDefault="00A25BEF" w:rsidP="00CB17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174B">
        <w:rPr>
          <w:rFonts w:ascii="Helvetica" w:hAnsi="Helvetica" w:cs="Arial"/>
          <w:sz w:val="20"/>
          <w:lang w:val="lt-LT"/>
        </w:rPr>
        <w:t xml:space="preserve">8. </w:t>
      </w:r>
      <w:r w:rsidR="00E67A5B" w:rsidRPr="00CB174B">
        <w:rPr>
          <w:rFonts w:ascii="Helvetica" w:hAnsi="Helvetica" w:cs="Arial"/>
          <w:sz w:val="20"/>
          <w:lang w:val="lt-LT"/>
        </w:rPr>
        <w:t>Būdas pagal bet kurį ankstesnį punktą</w:t>
      </w:r>
      <w:r w:rsidRPr="00CB174B">
        <w:rPr>
          <w:rFonts w:ascii="Helvetica" w:hAnsi="Helvetica" w:cs="Arial"/>
          <w:sz w:val="20"/>
          <w:lang w:val="lt-LT"/>
        </w:rPr>
        <w:t xml:space="preserve">, kur kompozicija papildomai apima </w:t>
      </w:r>
      <w:proofErr w:type="spellStart"/>
      <w:r w:rsidRPr="00CB174B">
        <w:rPr>
          <w:rFonts w:ascii="Helvetica" w:hAnsi="Helvetica" w:cs="Arial"/>
          <w:sz w:val="20"/>
          <w:lang w:val="lt-LT"/>
        </w:rPr>
        <w:t>glicerolį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</w:t>
      </w:r>
      <w:r w:rsidR="006A41B0" w:rsidRPr="00CB174B">
        <w:rPr>
          <w:rFonts w:ascii="Helvetica" w:hAnsi="Helvetica" w:cs="Arial"/>
          <w:sz w:val="20"/>
          <w:lang w:val="lt-LT"/>
        </w:rPr>
        <w:t>ir (arba)</w:t>
      </w:r>
      <w:r w:rsidRPr="00CB174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B174B">
        <w:rPr>
          <w:rFonts w:ascii="Helvetica" w:hAnsi="Helvetica" w:cs="Arial"/>
          <w:sz w:val="20"/>
          <w:lang w:val="lt-LT"/>
        </w:rPr>
        <w:t>polietilenglikolį</w:t>
      </w:r>
      <w:proofErr w:type="spellEnd"/>
      <w:r w:rsidRPr="00CB174B">
        <w:rPr>
          <w:rFonts w:ascii="Helvetica" w:hAnsi="Helvetica" w:cs="Arial"/>
          <w:sz w:val="20"/>
          <w:lang w:val="lt-LT"/>
        </w:rPr>
        <w:t>.</w:t>
      </w:r>
    </w:p>
    <w:p w14:paraId="6234F246" w14:textId="77777777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CE04682" w14:textId="720C86C4" w:rsidR="006A41B0" w:rsidRPr="00CB174B" w:rsidRDefault="00A25BEF" w:rsidP="00CB17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174B">
        <w:rPr>
          <w:rFonts w:ascii="Helvetica" w:hAnsi="Helvetica" w:cs="Arial"/>
          <w:sz w:val="20"/>
          <w:lang w:val="lt-LT"/>
        </w:rPr>
        <w:t xml:space="preserve">9. </w:t>
      </w:r>
      <w:r w:rsidR="00E67A5B" w:rsidRPr="00CB174B">
        <w:rPr>
          <w:rFonts w:ascii="Helvetica" w:hAnsi="Helvetica" w:cs="Arial"/>
          <w:sz w:val="20"/>
          <w:lang w:val="lt-LT"/>
        </w:rPr>
        <w:t>Būdas pagal bet kurį ankstesnį punktą</w:t>
      </w:r>
      <w:r w:rsidRPr="00CB174B">
        <w:rPr>
          <w:rFonts w:ascii="Helvetica" w:hAnsi="Helvetica" w:cs="Arial"/>
          <w:sz w:val="20"/>
          <w:lang w:val="lt-LT"/>
        </w:rPr>
        <w:t xml:space="preserve">, kur natrio citrato buferis arba fosfatinis buferis </w:t>
      </w:r>
      <w:r w:rsidR="006A41B0" w:rsidRPr="00CB174B">
        <w:rPr>
          <w:rFonts w:ascii="Helvetica" w:hAnsi="Helvetica" w:cs="Arial"/>
          <w:sz w:val="20"/>
          <w:lang w:val="lt-LT"/>
        </w:rPr>
        <w:t xml:space="preserve">yra </w:t>
      </w:r>
      <w:r w:rsidRPr="00CB174B">
        <w:rPr>
          <w:rFonts w:ascii="Helvetica" w:hAnsi="Helvetica" w:cs="Arial"/>
          <w:sz w:val="20"/>
          <w:lang w:val="lt-LT"/>
        </w:rPr>
        <w:t xml:space="preserve">pridedamas prie 0,4-20 mg/ml </w:t>
      </w:r>
      <w:proofErr w:type="spellStart"/>
      <w:r w:rsidRPr="00CB174B">
        <w:rPr>
          <w:rFonts w:ascii="Helvetica" w:hAnsi="Helvetica" w:cs="Arial"/>
          <w:sz w:val="20"/>
          <w:lang w:val="lt-LT"/>
        </w:rPr>
        <w:t>metotreksato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laisvos rūgšties, kur kompozicija apima: </w:t>
      </w:r>
    </w:p>
    <w:p w14:paraId="5BAC56B9" w14:textId="2179E8AF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174B">
        <w:rPr>
          <w:rFonts w:ascii="Helvetica" w:hAnsi="Helvetica" w:cs="Arial"/>
          <w:sz w:val="20"/>
          <w:lang w:val="lt-LT"/>
        </w:rPr>
        <w:t>PEG 400;</w:t>
      </w:r>
    </w:p>
    <w:p w14:paraId="7D87E02E" w14:textId="457F6462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CB174B">
        <w:rPr>
          <w:rFonts w:ascii="Helvetica" w:hAnsi="Helvetica" w:cs="Arial"/>
          <w:sz w:val="20"/>
          <w:lang w:val="lt-LT"/>
        </w:rPr>
        <w:t>etilparahidroksibenzoat</w:t>
      </w:r>
      <w:r w:rsidR="006A41B0" w:rsidRPr="00CB174B">
        <w:rPr>
          <w:rFonts w:ascii="Helvetica" w:hAnsi="Helvetica" w:cs="Arial"/>
          <w:sz w:val="20"/>
          <w:lang w:val="lt-LT"/>
        </w:rPr>
        <w:t>ą</w:t>
      </w:r>
      <w:proofErr w:type="spellEnd"/>
      <w:r w:rsidRPr="00CB174B">
        <w:rPr>
          <w:rFonts w:ascii="Helvetica" w:hAnsi="Helvetica" w:cs="Arial"/>
          <w:sz w:val="20"/>
          <w:lang w:val="lt-LT"/>
        </w:rPr>
        <w:t>;</w:t>
      </w:r>
    </w:p>
    <w:p w14:paraId="60B030E8" w14:textId="43BB7051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CB174B">
        <w:rPr>
          <w:rFonts w:ascii="Helvetica" w:hAnsi="Helvetica" w:cs="Arial"/>
          <w:sz w:val="20"/>
          <w:lang w:val="lt-LT"/>
        </w:rPr>
        <w:t>metilparahidroksibenzoato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natrio drusk</w:t>
      </w:r>
      <w:r w:rsidR="006A41B0" w:rsidRPr="00CB174B">
        <w:rPr>
          <w:rFonts w:ascii="Helvetica" w:hAnsi="Helvetica" w:cs="Arial"/>
          <w:sz w:val="20"/>
          <w:lang w:val="lt-LT"/>
        </w:rPr>
        <w:t>ą</w:t>
      </w:r>
      <w:r w:rsidRPr="00CB174B">
        <w:rPr>
          <w:rFonts w:ascii="Helvetica" w:hAnsi="Helvetica" w:cs="Arial"/>
          <w:sz w:val="20"/>
          <w:lang w:val="lt-LT"/>
        </w:rPr>
        <w:t>;</w:t>
      </w:r>
    </w:p>
    <w:p w14:paraId="62511935" w14:textId="48BD1465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CB174B">
        <w:rPr>
          <w:rFonts w:ascii="Helvetica" w:hAnsi="Helvetica" w:cs="Arial"/>
          <w:sz w:val="20"/>
          <w:lang w:val="lt-LT"/>
        </w:rPr>
        <w:t>glicerol</w:t>
      </w:r>
      <w:r w:rsidR="006A41B0" w:rsidRPr="00CB174B">
        <w:rPr>
          <w:rFonts w:ascii="Helvetica" w:hAnsi="Helvetica" w:cs="Arial"/>
          <w:sz w:val="20"/>
          <w:lang w:val="lt-LT"/>
        </w:rPr>
        <w:t>į</w:t>
      </w:r>
      <w:proofErr w:type="spellEnd"/>
      <w:r w:rsidRPr="00CB174B">
        <w:rPr>
          <w:rFonts w:ascii="Helvetica" w:hAnsi="Helvetica" w:cs="Arial"/>
          <w:sz w:val="20"/>
          <w:lang w:val="lt-LT"/>
        </w:rPr>
        <w:t>;</w:t>
      </w:r>
    </w:p>
    <w:p w14:paraId="5C40F9CB" w14:textId="3B8217DD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CB174B">
        <w:rPr>
          <w:rFonts w:ascii="Helvetica" w:hAnsi="Helvetica" w:cs="Arial"/>
          <w:sz w:val="20"/>
          <w:lang w:val="lt-LT"/>
        </w:rPr>
        <w:t>apelsinų skon</w:t>
      </w:r>
      <w:r w:rsidR="006A41B0" w:rsidRPr="00CB174B">
        <w:rPr>
          <w:rFonts w:ascii="Helvetica" w:hAnsi="Helvetica" w:cs="Arial"/>
          <w:sz w:val="20"/>
          <w:lang w:val="lt-LT"/>
        </w:rPr>
        <w:t>į</w:t>
      </w:r>
      <w:r w:rsidRPr="00CB174B">
        <w:rPr>
          <w:rFonts w:ascii="Helvetica" w:hAnsi="Helvetica" w:cs="Arial"/>
          <w:sz w:val="20"/>
          <w:lang w:val="lt-LT"/>
        </w:rPr>
        <w:t>; ir</w:t>
      </w:r>
    </w:p>
    <w:p w14:paraId="43BBBE08" w14:textId="3A7D26C1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CB174B">
        <w:rPr>
          <w:rFonts w:ascii="Helvetica" w:hAnsi="Helvetica" w:cs="Arial"/>
          <w:sz w:val="20"/>
          <w:lang w:val="lt-LT"/>
        </w:rPr>
        <w:t>sukraloz</w:t>
      </w:r>
      <w:r w:rsidR="006A41B0" w:rsidRPr="00CB174B">
        <w:rPr>
          <w:rFonts w:ascii="Helvetica" w:hAnsi="Helvetica" w:cs="Arial"/>
          <w:sz w:val="20"/>
          <w:lang w:val="lt-LT"/>
        </w:rPr>
        <w:t>ę</w:t>
      </w:r>
      <w:proofErr w:type="spellEnd"/>
      <w:r w:rsidRPr="00CB174B">
        <w:rPr>
          <w:rFonts w:ascii="Helvetica" w:hAnsi="Helvetica" w:cs="Arial"/>
          <w:sz w:val="20"/>
          <w:lang w:val="lt-LT"/>
        </w:rPr>
        <w:t>.</w:t>
      </w:r>
    </w:p>
    <w:p w14:paraId="4EDEFBAE" w14:textId="77777777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F579DC" w14:textId="09AD2CA9" w:rsidR="00A25BEF" w:rsidRPr="00CB174B" w:rsidRDefault="00A25BEF" w:rsidP="00CB17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174B">
        <w:rPr>
          <w:rFonts w:ascii="Helvetica" w:hAnsi="Helvetica" w:cs="Arial"/>
          <w:sz w:val="20"/>
          <w:lang w:val="lt-LT"/>
        </w:rPr>
        <w:t>10. Skysta farmacinė kompozicija, paruošiama būdu pagal bet kurį ankstesnį punktą.</w:t>
      </w:r>
    </w:p>
    <w:p w14:paraId="63110549" w14:textId="77777777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66AA7FF" w14:textId="38301115" w:rsidR="00A25BEF" w:rsidRPr="00CB174B" w:rsidRDefault="00A25BEF" w:rsidP="00CB17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174B">
        <w:rPr>
          <w:rFonts w:ascii="Helvetica" w:hAnsi="Helvetica" w:cs="Arial"/>
          <w:sz w:val="20"/>
          <w:lang w:val="lt-LT"/>
        </w:rPr>
        <w:t xml:space="preserve">11. Skysta farmacinė kompozicija pagal 10 punktą, skirta </w:t>
      </w:r>
      <w:proofErr w:type="spellStart"/>
      <w:r w:rsidRPr="00CB174B">
        <w:rPr>
          <w:rFonts w:ascii="Helvetica" w:hAnsi="Helvetica" w:cs="Arial"/>
          <w:sz w:val="20"/>
          <w:lang w:val="lt-LT"/>
        </w:rPr>
        <w:t>peroraliniam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vartojimui.</w:t>
      </w:r>
    </w:p>
    <w:p w14:paraId="15D12EC6" w14:textId="77777777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4023DCA" w14:textId="1228D09C" w:rsidR="00A25BEF" w:rsidRPr="00CB174B" w:rsidRDefault="00A25BEF" w:rsidP="00CB17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174B">
        <w:rPr>
          <w:rFonts w:ascii="Helvetica" w:hAnsi="Helvetica" w:cs="Arial"/>
          <w:sz w:val="20"/>
          <w:lang w:val="lt-LT"/>
        </w:rPr>
        <w:t>12. Kompozicija pagal 10 arba 11 punktą, skirta panaudoti terapijoje, kur įvedim</w:t>
      </w:r>
      <w:r w:rsidR="00366419" w:rsidRPr="00CB174B">
        <w:rPr>
          <w:rFonts w:ascii="Helvetica" w:hAnsi="Helvetica" w:cs="Arial"/>
          <w:sz w:val="20"/>
          <w:lang w:val="lt-LT"/>
        </w:rPr>
        <w:t>o būdas</w:t>
      </w:r>
      <w:r w:rsidRPr="00CB174B">
        <w:rPr>
          <w:rFonts w:ascii="Helvetica" w:hAnsi="Helvetica" w:cs="Arial"/>
          <w:sz w:val="20"/>
          <w:lang w:val="lt-LT"/>
        </w:rPr>
        <w:t xml:space="preserve"> yra </w:t>
      </w:r>
      <w:proofErr w:type="spellStart"/>
      <w:r w:rsidRPr="00CB174B">
        <w:rPr>
          <w:rFonts w:ascii="Helvetica" w:hAnsi="Helvetica" w:cs="Arial"/>
          <w:sz w:val="20"/>
          <w:lang w:val="lt-LT"/>
        </w:rPr>
        <w:t>peroralini</w:t>
      </w:r>
      <w:r w:rsidR="00B0175E" w:rsidRPr="00CB174B">
        <w:rPr>
          <w:rFonts w:ascii="Helvetica" w:hAnsi="Helvetica" w:cs="Arial"/>
          <w:sz w:val="20"/>
          <w:lang w:val="lt-LT"/>
        </w:rPr>
        <w:t>s</w:t>
      </w:r>
      <w:proofErr w:type="spellEnd"/>
      <w:r w:rsidRPr="00CB174B">
        <w:rPr>
          <w:rFonts w:ascii="Helvetica" w:hAnsi="Helvetica" w:cs="Arial"/>
          <w:sz w:val="20"/>
          <w:lang w:val="lt-LT"/>
        </w:rPr>
        <w:t>.</w:t>
      </w:r>
    </w:p>
    <w:p w14:paraId="2CFB332C" w14:textId="77777777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4C0361D" w14:textId="71C1CB6C" w:rsidR="00A25BEF" w:rsidRPr="00CB174B" w:rsidRDefault="00A25BEF" w:rsidP="00CB17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174B">
        <w:rPr>
          <w:rFonts w:ascii="Helvetica" w:hAnsi="Helvetica" w:cs="Arial"/>
          <w:sz w:val="20"/>
          <w:lang w:val="lt-LT"/>
        </w:rPr>
        <w:t xml:space="preserve">13. Kompozicija pagal 10 arba 11 punktą, skirta panaudoti </w:t>
      </w:r>
      <w:r w:rsidR="00B0175E" w:rsidRPr="00CB174B">
        <w:rPr>
          <w:rFonts w:ascii="Helvetica" w:hAnsi="Helvetica" w:cs="Arial"/>
          <w:sz w:val="20"/>
          <w:lang w:val="lt-LT"/>
        </w:rPr>
        <w:t xml:space="preserve">taikant </w:t>
      </w:r>
      <w:proofErr w:type="spellStart"/>
      <w:r w:rsidRPr="00CB174B">
        <w:rPr>
          <w:rFonts w:ascii="Helvetica" w:hAnsi="Helvetica" w:cs="Arial"/>
          <w:sz w:val="20"/>
          <w:lang w:val="lt-LT"/>
        </w:rPr>
        <w:t>metotreksato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</w:t>
      </w:r>
      <w:r w:rsidR="00B0175E" w:rsidRPr="00CB174B">
        <w:rPr>
          <w:rFonts w:ascii="Helvetica" w:hAnsi="Helvetica" w:cs="Arial"/>
          <w:sz w:val="20"/>
          <w:lang w:val="lt-LT"/>
        </w:rPr>
        <w:t>įvedimo</w:t>
      </w:r>
      <w:r w:rsidRPr="00CB174B">
        <w:rPr>
          <w:rFonts w:ascii="Helvetica" w:hAnsi="Helvetica" w:cs="Arial"/>
          <w:sz w:val="20"/>
          <w:lang w:val="lt-LT"/>
        </w:rPr>
        <w:t xml:space="preserve"> pacientui, kuriam reikalinga terapija, būd</w:t>
      </w:r>
      <w:r w:rsidR="00B0175E" w:rsidRPr="00CB174B">
        <w:rPr>
          <w:rFonts w:ascii="Helvetica" w:hAnsi="Helvetica" w:cs="Arial"/>
          <w:sz w:val="20"/>
          <w:lang w:val="lt-LT"/>
        </w:rPr>
        <w:t>ą</w:t>
      </w:r>
      <w:r w:rsidRPr="00CB174B">
        <w:rPr>
          <w:rFonts w:ascii="Helvetica" w:hAnsi="Helvetica" w:cs="Arial"/>
          <w:sz w:val="20"/>
          <w:lang w:val="lt-LT"/>
        </w:rPr>
        <w:t xml:space="preserve">, apimantį </w:t>
      </w:r>
      <w:proofErr w:type="spellStart"/>
      <w:r w:rsidRPr="00CB174B">
        <w:rPr>
          <w:rFonts w:ascii="Helvetica" w:hAnsi="Helvetica" w:cs="Arial"/>
          <w:sz w:val="20"/>
          <w:lang w:val="lt-LT"/>
        </w:rPr>
        <w:t>terapiškai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veiksmingo kiekio skystos farmacinės kompozicijos pagal bet kurį iš 10 arba 11 punktų </w:t>
      </w:r>
      <w:r w:rsidR="00B0175E" w:rsidRPr="00CB174B">
        <w:rPr>
          <w:rFonts w:ascii="Helvetica" w:hAnsi="Helvetica" w:cs="Arial"/>
          <w:sz w:val="20"/>
          <w:lang w:val="lt-LT"/>
        </w:rPr>
        <w:t>įvedim</w:t>
      </w:r>
      <w:r w:rsidRPr="00CB174B">
        <w:rPr>
          <w:rFonts w:ascii="Helvetica" w:hAnsi="Helvetica" w:cs="Arial"/>
          <w:sz w:val="20"/>
          <w:lang w:val="lt-LT"/>
        </w:rPr>
        <w:t>ą pacientui.</w:t>
      </w:r>
    </w:p>
    <w:p w14:paraId="6C6F06A2" w14:textId="77777777" w:rsidR="00A25BEF" w:rsidRPr="00CB174B" w:rsidRDefault="00A25BEF" w:rsidP="00CB174B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5907FA8" w14:textId="77777777" w:rsidR="00CB174B" w:rsidRDefault="00A25BEF" w:rsidP="00CB17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174B">
        <w:rPr>
          <w:rFonts w:ascii="Helvetica" w:hAnsi="Helvetica" w:cs="Arial"/>
          <w:sz w:val="20"/>
          <w:lang w:val="lt-LT"/>
        </w:rPr>
        <w:lastRenderedPageBreak/>
        <w:t xml:space="preserve">14. Kompozicija, skirta </w:t>
      </w:r>
      <w:r w:rsidR="00B0175E" w:rsidRPr="00CB174B">
        <w:rPr>
          <w:rFonts w:ascii="Helvetica" w:hAnsi="Helvetica" w:cs="Arial"/>
          <w:sz w:val="20"/>
          <w:lang w:val="lt-LT"/>
        </w:rPr>
        <w:t>pa</w:t>
      </w:r>
      <w:r w:rsidRPr="00CB174B">
        <w:rPr>
          <w:rFonts w:ascii="Helvetica" w:hAnsi="Helvetica" w:cs="Arial"/>
          <w:sz w:val="20"/>
          <w:lang w:val="lt-LT"/>
        </w:rPr>
        <w:t xml:space="preserve">naudoti pagal 12 arba 13 punktą, kur </w:t>
      </w:r>
      <w:r w:rsidR="00B0175E" w:rsidRPr="00CB174B">
        <w:rPr>
          <w:rFonts w:ascii="Helvetica" w:hAnsi="Helvetica" w:cs="Arial"/>
          <w:sz w:val="20"/>
          <w:lang w:val="lt-LT"/>
        </w:rPr>
        <w:t>terapija</w:t>
      </w:r>
      <w:r w:rsidRPr="00CB174B">
        <w:rPr>
          <w:rFonts w:ascii="Helvetica" w:hAnsi="Helvetica" w:cs="Arial"/>
          <w:sz w:val="20"/>
          <w:lang w:val="lt-LT"/>
        </w:rPr>
        <w:t xml:space="preserve"> yra skirta psoriazei, </w:t>
      </w:r>
      <w:proofErr w:type="spellStart"/>
      <w:r w:rsidRPr="00CB174B">
        <w:rPr>
          <w:rFonts w:ascii="Helvetica" w:hAnsi="Helvetica" w:cs="Arial"/>
          <w:sz w:val="20"/>
          <w:lang w:val="lt-LT"/>
        </w:rPr>
        <w:t>psoriaziniam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artritui, sisteminiam </w:t>
      </w:r>
      <w:proofErr w:type="spellStart"/>
      <w:r w:rsidRPr="00CB174B">
        <w:rPr>
          <w:rFonts w:ascii="Helvetica" w:hAnsi="Helvetica" w:cs="Arial"/>
          <w:sz w:val="20"/>
          <w:lang w:val="lt-LT"/>
        </w:rPr>
        <w:t>dermatomiozitui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B174B">
        <w:rPr>
          <w:rFonts w:ascii="Helvetica" w:hAnsi="Helvetica" w:cs="Arial"/>
          <w:sz w:val="20"/>
          <w:lang w:val="lt-LT"/>
        </w:rPr>
        <w:t>seron</w:t>
      </w:r>
      <w:r w:rsidR="00B0175E" w:rsidRPr="00CB174B">
        <w:rPr>
          <w:rFonts w:ascii="Helvetica" w:hAnsi="Helvetica" w:cs="Arial"/>
          <w:sz w:val="20"/>
          <w:lang w:val="lt-LT"/>
        </w:rPr>
        <w:t>eigiamam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artritui, suaugusiųjų reumatoidiniam artritui, atspariam jaunatviniam reumatoidiniam artritui, aktyvaus jaunatvinio idiopatinio artrito (JIA) </w:t>
      </w:r>
      <w:proofErr w:type="spellStart"/>
      <w:r w:rsidRPr="00CB174B">
        <w:rPr>
          <w:rFonts w:ascii="Helvetica" w:hAnsi="Helvetica" w:cs="Arial"/>
          <w:sz w:val="20"/>
          <w:lang w:val="lt-LT"/>
        </w:rPr>
        <w:t>poliartritinėms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formoms, </w:t>
      </w:r>
      <w:proofErr w:type="spellStart"/>
      <w:r w:rsidRPr="00CB174B">
        <w:rPr>
          <w:rFonts w:ascii="Helvetica" w:hAnsi="Helvetica" w:cs="Arial"/>
          <w:sz w:val="20"/>
          <w:lang w:val="lt-LT"/>
        </w:rPr>
        <w:t>transplantatas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prieš šeimininką liga</w:t>
      </w:r>
      <w:r w:rsidR="00B0175E" w:rsidRPr="00CB174B">
        <w:rPr>
          <w:rFonts w:ascii="Helvetica" w:hAnsi="Helvetica" w:cs="Arial"/>
          <w:sz w:val="20"/>
          <w:lang w:val="lt-LT"/>
        </w:rPr>
        <w:t>i</w:t>
      </w:r>
      <w:r w:rsidRPr="00CB174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1F26C7" w:rsidRPr="00CB174B">
        <w:rPr>
          <w:rFonts w:ascii="Helvetica" w:hAnsi="Helvetica" w:cs="Arial"/>
          <w:sz w:val="20"/>
          <w:lang w:val="lt-LT"/>
        </w:rPr>
        <w:t>grybiškosios</w:t>
      </w:r>
      <w:proofErr w:type="spellEnd"/>
      <w:r w:rsidR="001F26C7" w:rsidRPr="00CB174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1F26C7" w:rsidRPr="00CB174B">
        <w:rPr>
          <w:rFonts w:ascii="Helvetica" w:hAnsi="Helvetica" w:cs="Arial"/>
          <w:sz w:val="20"/>
          <w:lang w:val="lt-LT"/>
        </w:rPr>
        <w:t>granuliomo</w:t>
      </w:r>
      <w:r w:rsidRPr="00CB174B">
        <w:rPr>
          <w:rFonts w:ascii="Helvetica" w:hAnsi="Helvetica" w:cs="Arial"/>
          <w:sz w:val="20"/>
          <w:lang w:val="lt-LT"/>
        </w:rPr>
        <w:t>s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B174B">
        <w:rPr>
          <w:rFonts w:ascii="Helvetica" w:hAnsi="Helvetica" w:cs="Arial"/>
          <w:sz w:val="20"/>
          <w:lang w:val="lt-LT"/>
        </w:rPr>
        <w:t>spondiloartropatij</w:t>
      </w:r>
      <w:r w:rsidR="001F26C7" w:rsidRPr="00CB174B">
        <w:rPr>
          <w:rFonts w:ascii="Helvetica" w:hAnsi="Helvetica" w:cs="Arial"/>
          <w:sz w:val="20"/>
          <w:lang w:val="lt-LT"/>
        </w:rPr>
        <w:t>os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B174B">
        <w:rPr>
          <w:rFonts w:ascii="Helvetica" w:hAnsi="Helvetica" w:cs="Arial"/>
          <w:sz w:val="20"/>
          <w:lang w:val="lt-LT"/>
        </w:rPr>
        <w:t>spondiloartropatij</w:t>
      </w:r>
      <w:r w:rsidR="001F26C7" w:rsidRPr="00CB174B">
        <w:rPr>
          <w:rFonts w:ascii="Helvetica" w:hAnsi="Helvetica" w:cs="Arial"/>
          <w:sz w:val="20"/>
          <w:lang w:val="lt-LT"/>
        </w:rPr>
        <w:t>ų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B174B">
        <w:rPr>
          <w:rFonts w:ascii="Helvetica" w:hAnsi="Helvetica" w:cs="Arial"/>
          <w:sz w:val="20"/>
          <w:lang w:val="lt-LT"/>
        </w:rPr>
        <w:t>ankilozuojan</w:t>
      </w:r>
      <w:r w:rsidR="001F26C7" w:rsidRPr="00CB174B">
        <w:rPr>
          <w:rFonts w:ascii="Helvetica" w:hAnsi="Helvetica" w:cs="Arial"/>
          <w:sz w:val="20"/>
          <w:lang w:val="lt-LT"/>
        </w:rPr>
        <w:t>čio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B174B">
        <w:rPr>
          <w:rFonts w:ascii="Helvetica" w:hAnsi="Helvetica" w:cs="Arial"/>
          <w:sz w:val="20"/>
          <w:lang w:val="lt-LT"/>
        </w:rPr>
        <w:t>spondilit</w:t>
      </w:r>
      <w:r w:rsidR="001F26C7" w:rsidRPr="00CB174B">
        <w:rPr>
          <w:rFonts w:ascii="Helvetica" w:hAnsi="Helvetica" w:cs="Arial"/>
          <w:sz w:val="20"/>
          <w:lang w:val="lt-LT"/>
        </w:rPr>
        <w:t>o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1F26C7" w:rsidRPr="00CB174B">
        <w:rPr>
          <w:rFonts w:ascii="Helvetica" w:hAnsi="Helvetica" w:cs="Arial"/>
          <w:sz w:val="20"/>
          <w:lang w:val="lt-LT"/>
        </w:rPr>
        <w:t>neoplazmų</w:t>
      </w:r>
      <w:proofErr w:type="spellEnd"/>
      <w:r w:rsidRPr="00CB174B">
        <w:rPr>
          <w:rFonts w:ascii="Helvetica" w:hAnsi="Helvetica" w:cs="Arial"/>
          <w:sz w:val="20"/>
          <w:lang w:val="lt-LT"/>
        </w:rPr>
        <w:t>, ūminė</w:t>
      </w:r>
      <w:r w:rsidR="001F26C7" w:rsidRPr="00CB174B">
        <w:rPr>
          <w:rFonts w:ascii="Helvetica" w:hAnsi="Helvetica" w:cs="Arial"/>
          <w:sz w:val="20"/>
          <w:lang w:val="lt-LT"/>
        </w:rPr>
        <w:t>s</w:t>
      </w:r>
      <w:r w:rsidRPr="00CB174B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CB174B">
        <w:rPr>
          <w:rFonts w:ascii="Helvetica" w:hAnsi="Helvetica" w:cs="Arial"/>
          <w:sz w:val="20"/>
          <w:lang w:val="lt-LT"/>
        </w:rPr>
        <w:t>limfoblastinė</w:t>
      </w:r>
      <w:r w:rsidR="001F26C7" w:rsidRPr="00CB174B">
        <w:rPr>
          <w:rFonts w:ascii="Helvetica" w:hAnsi="Helvetica" w:cs="Arial"/>
          <w:sz w:val="20"/>
          <w:lang w:val="lt-LT"/>
        </w:rPr>
        <w:t>s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leukemij</w:t>
      </w:r>
      <w:r w:rsidR="001F26C7" w:rsidRPr="00CB174B">
        <w:rPr>
          <w:rFonts w:ascii="Helvetica" w:hAnsi="Helvetica" w:cs="Arial"/>
          <w:sz w:val="20"/>
          <w:lang w:val="lt-LT"/>
        </w:rPr>
        <w:t>os</w:t>
      </w:r>
      <w:r w:rsidRPr="00CB174B">
        <w:rPr>
          <w:rFonts w:ascii="Helvetica" w:hAnsi="Helvetica" w:cs="Arial"/>
          <w:sz w:val="20"/>
          <w:lang w:val="lt-LT"/>
        </w:rPr>
        <w:t xml:space="preserve">, </w:t>
      </w:r>
      <w:r w:rsidR="007A6EA6" w:rsidRPr="00CB174B">
        <w:rPr>
          <w:rFonts w:ascii="Helvetica" w:hAnsi="Helvetica" w:cs="Arial"/>
          <w:sz w:val="20"/>
          <w:lang w:val="lt-LT"/>
        </w:rPr>
        <w:t>smegenų dangalų</w:t>
      </w:r>
      <w:r w:rsidRPr="00CB174B">
        <w:rPr>
          <w:rFonts w:ascii="Helvetica" w:hAnsi="Helvetica" w:cs="Arial"/>
          <w:sz w:val="20"/>
          <w:lang w:val="lt-LT"/>
        </w:rPr>
        <w:t xml:space="preserve"> leukemijos profilaktika</w:t>
      </w:r>
      <w:r w:rsidR="007A6EA6" w:rsidRPr="00CB174B">
        <w:rPr>
          <w:rFonts w:ascii="Helvetica" w:hAnsi="Helvetica" w:cs="Arial"/>
          <w:sz w:val="20"/>
          <w:lang w:val="lt-LT"/>
        </w:rPr>
        <w:t>i</w:t>
      </w:r>
      <w:r w:rsidRPr="00CB174B">
        <w:rPr>
          <w:rFonts w:ascii="Helvetica" w:hAnsi="Helvetica" w:cs="Arial"/>
          <w:sz w:val="20"/>
          <w:lang w:val="lt-LT"/>
        </w:rPr>
        <w:t>, krūties vėž</w:t>
      </w:r>
      <w:r w:rsidR="007A6EA6" w:rsidRPr="00CB174B">
        <w:rPr>
          <w:rFonts w:ascii="Helvetica" w:hAnsi="Helvetica" w:cs="Arial"/>
          <w:sz w:val="20"/>
          <w:lang w:val="lt-LT"/>
        </w:rPr>
        <w:t>iui</w:t>
      </w:r>
      <w:r w:rsidRPr="00CB174B">
        <w:rPr>
          <w:rFonts w:ascii="Helvetica" w:hAnsi="Helvetica" w:cs="Arial"/>
          <w:sz w:val="20"/>
          <w:lang w:val="lt-LT"/>
        </w:rPr>
        <w:t>, šlapimo pūslės vėž</w:t>
      </w:r>
      <w:r w:rsidR="007A6EA6" w:rsidRPr="00CB174B">
        <w:rPr>
          <w:rFonts w:ascii="Helvetica" w:hAnsi="Helvetica" w:cs="Arial"/>
          <w:sz w:val="20"/>
          <w:lang w:val="lt-LT"/>
        </w:rPr>
        <w:t>iui</w:t>
      </w:r>
      <w:r w:rsidRPr="00CB174B">
        <w:rPr>
          <w:rFonts w:ascii="Helvetica" w:hAnsi="Helvetica" w:cs="Arial"/>
          <w:sz w:val="20"/>
          <w:lang w:val="lt-LT"/>
        </w:rPr>
        <w:t>, galvos vėž</w:t>
      </w:r>
      <w:r w:rsidR="007A6EA6" w:rsidRPr="00CB174B">
        <w:rPr>
          <w:rFonts w:ascii="Helvetica" w:hAnsi="Helvetica" w:cs="Arial"/>
          <w:sz w:val="20"/>
          <w:lang w:val="lt-LT"/>
        </w:rPr>
        <w:t>iui</w:t>
      </w:r>
      <w:r w:rsidRPr="00CB174B">
        <w:rPr>
          <w:rFonts w:ascii="Helvetica" w:hAnsi="Helvetica" w:cs="Arial"/>
          <w:sz w:val="20"/>
          <w:lang w:val="lt-LT"/>
        </w:rPr>
        <w:t>, kaklo vėž</w:t>
      </w:r>
      <w:r w:rsidR="007A6EA6" w:rsidRPr="00CB174B">
        <w:rPr>
          <w:rFonts w:ascii="Helvetica" w:hAnsi="Helvetica" w:cs="Arial"/>
          <w:sz w:val="20"/>
          <w:lang w:val="lt-LT"/>
        </w:rPr>
        <w:t>iui</w:t>
      </w:r>
      <w:r w:rsidRPr="00CB174B">
        <w:rPr>
          <w:rFonts w:ascii="Helvetica" w:hAnsi="Helvetica" w:cs="Arial"/>
          <w:sz w:val="20"/>
          <w:lang w:val="lt-LT"/>
        </w:rPr>
        <w:t xml:space="preserve">, ne </w:t>
      </w:r>
      <w:proofErr w:type="spellStart"/>
      <w:r w:rsidRPr="00CB174B">
        <w:rPr>
          <w:rFonts w:ascii="Helvetica" w:hAnsi="Helvetica" w:cs="Arial"/>
          <w:sz w:val="20"/>
          <w:lang w:val="lt-LT"/>
        </w:rPr>
        <w:t>Hodžkino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limfoma</w:t>
      </w:r>
      <w:r w:rsidR="007A6EA6" w:rsidRPr="00CB174B">
        <w:rPr>
          <w:rFonts w:ascii="Helvetica" w:hAnsi="Helvetica" w:cs="Arial"/>
          <w:sz w:val="20"/>
          <w:lang w:val="lt-LT"/>
        </w:rPr>
        <w:t>i</w:t>
      </w:r>
      <w:r w:rsidRPr="00CB174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7A6EA6" w:rsidRPr="00CB174B">
        <w:rPr>
          <w:rFonts w:ascii="Helvetica" w:hAnsi="Helvetica" w:cs="Arial"/>
          <w:sz w:val="20"/>
          <w:lang w:val="lt-LT"/>
        </w:rPr>
        <w:t>osteogeninei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sarkoma</w:t>
      </w:r>
      <w:r w:rsidR="007A6EA6" w:rsidRPr="00CB174B">
        <w:rPr>
          <w:rFonts w:ascii="Helvetica" w:hAnsi="Helvetica" w:cs="Arial"/>
          <w:sz w:val="20"/>
          <w:lang w:val="lt-LT"/>
        </w:rPr>
        <w:t>i</w:t>
      </w:r>
      <w:r w:rsidRPr="00CB174B">
        <w:rPr>
          <w:rFonts w:ascii="Helvetica" w:hAnsi="Helvetica" w:cs="Arial"/>
          <w:sz w:val="20"/>
          <w:lang w:val="lt-LT"/>
        </w:rPr>
        <w:t xml:space="preserve">, suaugusiųjų </w:t>
      </w:r>
      <w:r w:rsidR="007A6EA6" w:rsidRPr="00CB174B">
        <w:rPr>
          <w:rFonts w:ascii="Helvetica" w:hAnsi="Helvetica" w:cs="Arial"/>
          <w:sz w:val="20"/>
          <w:lang w:val="lt-LT"/>
        </w:rPr>
        <w:t>minkštųjų audinių</w:t>
      </w:r>
      <w:r w:rsidRPr="00CB174B">
        <w:rPr>
          <w:rFonts w:ascii="Helvetica" w:hAnsi="Helvetica" w:cs="Arial"/>
          <w:sz w:val="20"/>
          <w:lang w:val="lt-LT"/>
        </w:rPr>
        <w:t xml:space="preserve"> sarkoma</w:t>
      </w:r>
      <w:r w:rsidR="007A6EA6" w:rsidRPr="00CB174B">
        <w:rPr>
          <w:rFonts w:ascii="Helvetica" w:hAnsi="Helvetica" w:cs="Arial"/>
          <w:sz w:val="20"/>
          <w:lang w:val="lt-LT"/>
        </w:rPr>
        <w:t xml:space="preserve">i, </w:t>
      </w:r>
      <w:proofErr w:type="spellStart"/>
      <w:r w:rsidR="007A6EA6" w:rsidRPr="00CB174B">
        <w:rPr>
          <w:rFonts w:ascii="Helvetica" w:hAnsi="Helvetica" w:cs="Arial"/>
          <w:sz w:val="20"/>
          <w:lang w:val="lt-LT"/>
        </w:rPr>
        <w:t>choriokarcinomai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arba plaučių vėž</w:t>
      </w:r>
      <w:r w:rsidR="007A6EA6" w:rsidRPr="00CB174B">
        <w:rPr>
          <w:rFonts w:ascii="Helvetica" w:hAnsi="Helvetica" w:cs="Arial"/>
          <w:sz w:val="20"/>
          <w:lang w:val="lt-LT"/>
        </w:rPr>
        <w:t>iui</w:t>
      </w:r>
      <w:r w:rsidRPr="00CB174B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CB174B">
        <w:rPr>
          <w:rFonts w:ascii="Helvetica" w:hAnsi="Helvetica" w:cs="Arial"/>
          <w:sz w:val="20"/>
          <w:lang w:val="lt-LT"/>
        </w:rPr>
        <w:t>hemoblastoz</w:t>
      </w:r>
      <w:r w:rsidR="007A6EA6" w:rsidRPr="00CB174B">
        <w:rPr>
          <w:rFonts w:ascii="Helvetica" w:hAnsi="Helvetica" w:cs="Arial"/>
          <w:sz w:val="20"/>
          <w:lang w:val="lt-LT"/>
        </w:rPr>
        <w:t>ei</w:t>
      </w:r>
      <w:proofErr w:type="spellEnd"/>
      <w:r w:rsidRPr="00CB174B">
        <w:rPr>
          <w:rFonts w:ascii="Helvetica" w:hAnsi="Helvetica" w:cs="Arial"/>
          <w:sz w:val="20"/>
          <w:lang w:val="lt-LT"/>
        </w:rPr>
        <w:t xml:space="preserve"> ar</w:t>
      </w:r>
      <w:r w:rsidR="007A6EA6" w:rsidRPr="00CB174B">
        <w:rPr>
          <w:rFonts w:ascii="Helvetica" w:hAnsi="Helvetica" w:cs="Arial"/>
          <w:sz w:val="20"/>
          <w:lang w:val="lt-LT"/>
        </w:rPr>
        <w:t>ba</w:t>
      </w:r>
      <w:r w:rsidRPr="00CB174B">
        <w:rPr>
          <w:rFonts w:ascii="Helvetica" w:hAnsi="Helvetica" w:cs="Arial"/>
          <w:sz w:val="20"/>
          <w:lang w:val="lt-LT"/>
        </w:rPr>
        <w:t xml:space="preserve"> bet kok</w:t>
      </w:r>
      <w:r w:rsidR="007A6EA6" w:rsidRPr="00CB174B">
        <w:rPr>
          <w:rFonts w:ascii="Helvetica" w:hAnsi="Helvetica" w:cs="Arial"/>
          <w:sz w:val="20"/>
          <w:lang w:val="lt-LT"/>
        </w:rPr>
        <w:t>ių</w:t>
      </w:r>
      <w:r w:rsidRPr="00CB174B">
        <w:rPr>
          <w:rFonts w:ascii="Helvetica" w:hAnsi="Helvetica" w:cs="Arial"/>
          <w:sz w:val="20"/>
          <w:lang w:val="lt-LT"/>
        </w:rPr>
        <w:t xml:space="preserve"> kit</w:t>
      </w:r>
      <w:r w:rsidR="007A6EA6" w:rsidRPr="00CB174B">
        <w:rPr>
          <w:rFonts w:ascii="Helvetica" w:hAnsi="Helvetica" w:cs="Arial"/>
          <w:sz w:val="20"/>
          <w:lang w:val="lt-LT"/>
        </w:rPr>
        <w:t>okių</w:t>
      </w:r>
      <w:r w:rsidRPr="00CB174B">
        <w:rPr>
          <w:rFonts w:ascii="Helvetica" w:hAnsi="Helvetica" w:cs="Arial"/>
          <w:sz w:val="20"/>
          <w:lang w:val="lt-LT"/>
        </w:rPr>
        <w:t xml:space="preserve"> piktybini</w:t>
      </w:r>
      <w:r w:rsidR="007A6EA6" w:rsidRPr="00CB174B">
        <w:rPr>
          <w:rFonts w:ascii="Helvetica" w:hAnsi="Helvetica" w:cs="Arial"/>
          <w:sz w:val="20"/>
          <w:lang w:val="lt-LT"/>
        </w:rPr>
        <w:t>ų</w:t>
      </w:r>
      <w:r w:rsidRPr="00CB174B">
        <w:rPr>
          <w:rFonts w:ascii="Helvetica" w:hAnsi="Helvetica" w:cs="Arial"/>
          <w:sz w:val="20"/>
          <w:lang w:val="lt-LT"/>
        </w:rPr>
        <w:t xml:space="preserve"> navik</w:t>
      </w:r>
      <w:r w:rsidR="007A6EA6" w:rsidRPr="00CB174B">
        <w:rPr>
          <w:rFonts w:ascii="Helvetica" w:hAnsi="Helvetica" w:cs="Arial"/>
          <w:sz w:val="20"/>
          <w:lang w:val="lt-LT"/>
        </w:rPr>
        <w:t>ų</w:t>
      </w:r>
      <w:r w:rsidRPr="00CB174B">
        <w:rPr>
          <w:rFonts w:ascii="Helvetica" w:hAnsi="Helvetica" w:cs="Arial"/>
          <w:sz w:val="20"/>
          <w:lang w:val="lt-LT"/>
        </w:rPr>
        <w:t xml:space="preserve"> ar</w:t>
      </w:r>
      <w:r w:rsidR="007A6EA6" w:rsidRPr="00CB174B">
        <w:rPr>
          <w:rFonts w:ascii="Helvetica" w:hAnsi="Helvetica" w:cs="Arial"/>
          <w:sz w:val="20"/>
          <w:lang w:val="lt-LT"/>
        </w:rPr>
        <w:t>ba</w:t>
      </w:r>
      <w:r w:rsidRPr="00CB174B">
        <w:rPr>
          <w:rFonts w:ascii="Helvetica" w:hAnsi="Helvetica" w:cs="Arial"/>
          <w:sz w:val="20"/>
          <w:lang w:val="lt-LT"/>
        </w:rPr>
        <w:t xml:space="preserve"> būkl</w:t>
      </w:r>
      <w:r w:rsidR="007A6EA6" w:rsidRPr="00CB174B">
        <w:rPr>
          <w:rFonts w:ascii="Helvetica" w:hAnsi="Helvetica" w:cs="Arial"/>
          <w:sz w:val="20"/>
          <w:lang w:val="lt-LT"/>
        </w:rPr>
        <w:t>ių</w:t>
      </w:r>
      <w:r w:rsidRPr="00CB174B">
        <w:rPr>
          <w:rFonts w:ascii="Helvetica" w:hAnsi="Helvetica" w:cs="Arial"/>
          <w:sz w:val="20"/>
          <w:lang w:val="lt-LT"/>
        </w:rPr>
        <w:t>, kuri</w:t>
      </w:r>
      <w:r w:rsidR="001A2B20" w:rsidRPr="00CB174B">
        <w:rPr>
          <w:rFonts w:ascii="Helvetica" w:hAnsi="Helvetica" w:cs="Arial"/>
          <w:sz w:val="20"/>
          <w:lang w:val="lt-LT"/>
        </w:rPr>
        <w:t>oms</w:t>
      </w:r>
      <w:r w:rsidRPr="00CB174B">
        <w:rPr>
          <w:rFonts w:ascii="Helvetica" w:hAnsi="Helvetica" w:cs="Arial"/>
          <w:sz w:val="20"/>
          <w:lang w:val="lt-LT"/>
        </w:rPr>
        <w:t xml:space="preserve"> skiriamas </w:t>
      </w:r>
      <w:proofErr w:type="spellStart"/>
      <w:r w:rsidRPr="00CB174B">
        <w:rPr>
          <w:rFonts w:ascii="Helvetica" w:hAnsi="Helvetica" w:cs="Arial"/>
          <w:sz w:val="20"/>
          <w:lang w:val="lt-LT"/>
        </w:rPr>
        <w:t>metotreksatas</w:t>
      </w:r>
      <w:proofErr w:type="spellEnd"/>
      <w:r w:rsidR="00B548D6" w:rsidRPr="00CB174B">
        <w:rPr>
          <w:rFonts w:ascii="Helvetica" w:hAnsi="Helvetica" w:cs="Arial"/>
          <w:sz w:val="20"/>
          <w:lang w:val="lt-LT"/>
        </w:rPr>
        <w:t>,</w:t>
      </w:r>
      <w:r w:rsidR="007A6EA6" w:rsidRPr="00CB174B">
        <w:rPr>
          <w:rFonts w:ascii="Helvetica" w:hAnsi="Helvetica" w:cs="Arial"/>
          <w:sz w:val="20"/>
          <w:lang w:val="lt-LT"/>
        </w:rPr>
        <w:t xml:space="preserve"> gydyti</w:t>
      </w:r>
      <w:r w:rsidRPr="00CB174B">
        <w:rPr>
          <w:rFonts w:ascii="Helvetica" w:hAnsi="Helvetica" w:cs="Arial"/>
          <w:sz w:val="20"/>
          <w:lang w:val="lt-LT"/>
        </w:rPr>
        <w:t>.</w:t>
      </w:r>
    </w:p>
    <w:p w14:paraId="2A050297" w14:textId="77777777" w:rsidR="00CB174B" w:rsidRDefault="00CB174B" w:rsidP="00CB17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p w14:paraId="11DE2A78" w14:textId="537E2958" w:rsidR="00A534B9" w:rsidRPr="00CB174B" w:rsidRDefault="00A25BEF" w:rsidP="00CB174B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CB174B">
        <w:rPr>
          <w:rFonts w:ascii="Helvetica" w:hAnsi="Helvetica" w:cs="Arial"/>
          <w:sz w:val="20"/>
          <w:lang w:val="lt-LT"/>
        </w:rPr>
        <w:t xml:space="preserve">15. Kompozicija, skirta </w:t>
      </w:r>
      <w:r w:rsidR="00B548D6" w:rsidRPr="00CB174B">
        <w:rPr>
          <w:rFonts w:ascii="Helvetica" w:hAnsi="Helvetica" w:cs="Arial"/>
          <w:sz w:val="20"/>
          <w:lang w:val="lt-LT"/>
        </w:rPr>
        <w:t>pa</w:t>
      </w:r>
      <w:r w:rsidRPr="00CB174B">
        <w:rPr>
          <w:rFonts w:ascii="Helvetica" w:hAnsi="Helvetica" w:cs="Arial"/>
          <w:sz w:val="20"/>
          <w:lang w:val="lt-LT"/>
        </w:rPr>
        <w:t>naudoti pagal bet kurį iš 12-14 punktų, kur pacientas yra vaikas.</w:t>
      </w:r>
    </w:p>
    <w:sectPr w:rsidR="00A534B9" w:rsidRPr="00CB174B" w:rsidSect="00CB174B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690D5" w14:textId="77777777" w:rsidR="003173BF" w:rsidRDefault="003173BF" w:rsidP="007B0A41">
      <w:pPr>
        <w:spacing w:after="0" w:line="240" w:lineRule="auto"/>
      </w:pPr>
      <w:r>
        <w:separator/>
      </w:r>
    </w:p>
  </w:endnote>
  <w:endnote w:type="continuationSeparator" w:id="0">
    <w:p w14:paraId="22B3143B" w14:textId="77777777" w:rsidR="003173BF" w:rsidRDefault="003173BF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3A9E" w14:textId="77777777" w:rsidR="003173BF" w:rsidRDefault="003173BF" w:rsidP="007B0A41">
      <w:pPr>
        <w:spacing w:after="0" w:line="240" w:lineRule="auto"/>
      </w:pPr>
      <w:r>
        <w:separator/>
      </w:r>
    </w:p>
  </w:footnote>
  <w:footnote w:type="continuationSeparator" w:id="0">
    <w:p w14:paraId="798415B1" w14:textId="77777777" w:rsidR="003173BF" w:rsidRDefault="003173BF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70D8A"/>
    <w:rsid w:val="00092D0B"/>
    <w:rsid w:val="00120AC9"/>
    <w:rsid w:val="001308ED"/>
    <w:rsid w:val="001668DF"/>
    <w:rsid w:val="00192F10"/>
    <w:rsid w:val="001A2B20"/>
    <w:rsid w:val="001A3E8E"/>
    <w:rsid w:val="001C33D1"/>
    <w:rsid w:val="001F266E"/>
    <w:rsid w:val="001F26C7"/>
    <w:rsid w:val="001F408E"/>
    <w:rsid w:val="00223910"/>
    <w:rsid w:val="00234E11"/>
    <w:rsid w:val="00260D4E"/>
    <w:rsid w:val="002837FC"/>
    <w:rsid w:val="00316FB7"/>
    <w:rsid w:val="003173BF"/>
    <w:rsid w:val="00366419"/>
    <w:rsid w:val="003700E9"/>
    <w:rsid w:val="003A0D71"/>
    <w:rsid w:val="003D4001"/>
    <w:rsid w:val="00412B35"/>
    <w:rsid w:val="00416928"/>
    <w:rsid w:val="004243BB"/>
    <w:rsid w:val="00431822"/>
    <w:rsid w:val="00456282"/>
    <w:rsid w:val="00494BAE"/>
    <w:rsid w:val="004A11D8"/>
    <w:rsid w:val="004C1469"/>
    <w:rsid w:val="0053198F"/>
    <w:rsid w:val="005324BA"/>
    <w:rsid w:val="00560B7D"/>
    <w:rsid w:val="00564911"/>
    <w:rsid w:val="0059478E"/>
    <w:rsid w:val="005D37DF"/>
    <w:rsid w:val="006049CC"/>
    <w:rsid w:val="00617E21"/>
    <w:rsid w:val="006329F5"/>
    <w:rsid w:val="006375BB"/>
    <w:rsid w:val="00675FB8"/>
    <w:rsid w:val="00683EAE"/>
    <w:rsid w:val="006A41B0"/>
    <w:rsid w:val="006A5176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A6EA6"/>
    <w:rsid w:val="007B0A41"/>
    <w:rsid w:val="007C0A0D"/>
    <w:rsid w:val="007C60FE"/>
    <w:rsid w:val="007E2261"/>
    <w:rsid w:val="00806BE5"/>
    <w:rsid w:val="008309E7"/>
    <w:rsid w:val="00837B1E"/>
    <w:rsid w:val="00864E7D"/>
    <w:rsid w:val="00886FF4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32A"/>
    <w:rsid w:val="00992879"/>
    <w:rsid w:val="009B2E35"/>
    <w:rsid w:val="009B6C12"/>
    <w:rsid w:val="00A02F0C"/>
    <w:rsid w:val="00A22BBD"/>
    <w:rsid w:val="00A25BEF"/>
    <w:rsid w:val="00A4282B"/>
    <w:rsid w:val="00A51B6C"/>
    <w:rsid w:val="00A534B9"/>
    <w:rsid w:val="00AA3A1F"/>
    <w:rsid w:val="00AB06EC"/>
    <w:rsid w:val="00AD4691"/>
    <w:rsid w:val="00AE51EA"/>
    <w:rsid w:val="00B0175E"/>
    <w:rsid w:val="00B226B6"/>
    <w:rsid w:val="00B548D6"/>
    <w:rsid w:val="00B6516C"/>
    <w:rsid w:val="00B70727"/>
    <w:rsid w:val="00B81287"/>
    <w:rsid w:val="00B86C5A"/>
    <w:rsid w:val="00BD2789"/>
    <w:rsid w:val="00C1001A"/>
    <w:rsid w:val="00C30968"/>
    <w:rsid w:val="00C72847"/>
    <w:rsid w:val="00C86DA9"/>
    <w:rsid w:val="00C91715"/>
    <w:rsid w:val="00CB174B"/>
    <w:rsid w:val="00CE42D1"/>
    <w:rsid w:val="00CF70D6"/>
    <w:rsid w:val="00D15412"/>
    <w:rsid w:val="00D30F69"/>
    <w:rsid w:val="00D54A23"/>
    <w:rsid w:val="00D55A30"/>
    <w:rsid w:val="00D56D60"/>
    <w:rsid w:val="00DB375D"/>
    <w:rsid w:val="00E1104B"/>
    <w:rsid w:val="00E1543E"/>
    <w:rsid w:val="00E2583B"/>
    <w:rsid w:val="00E321B7"/>
    <w:rsid w:val="00E67A5B"/>
    <w:rsid w:val="00F01CE8"/>
    <w:rsid w:val="00F37F4D"/>
    <w:rsid w:val="00F5330D"/>
    <w:rsid w:val="00F577D6"/>
    <w:rsid w:val="00F66B57"/>
    <w:rsid w:val="00F87A00"/>
    <w:rsid w:val="00FA380A"/>
    <w:rsid w:val="00FB2032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4AE9F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2675</Characters>
  <Application>Microsoft Office Word</Application>
  <DocSecurity>0</DocSecurity>
  <Lines>59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2022-01-24T18:26:00Z</dcterms:created>
  <dcterms:modified xsi:type="dcterms:W3CDTF">2022-02-09T14:11:00Z</dcterms:modified>
</cp:coreProperties>
</file>