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6EB87" w14:textId="62D7EE25" w:rsidR="006E4C81" w:rsidRPr="006E4C81" w:rsidRDefault="006E4C81" w:rsidP="006E4C81">
      <w:pPr>
        <w:spacing w:after="0" w:line="360" w:lineRule="auto"/>
        <w:ind w:firstLine="567"/>
        <w:jc w:val="both"/>
        <w:rPr>
          <w:rFonts w:ascii="Helvetica" w:hAnsi="Helvetica" w:cs="Helvetica"/>
          <w:sz w:val="20"/>
        </w:rPr>
      </w:pPr>
      <w:r w:rsidRPr="006E4C81">
        <w:rPr>
          <w:rFonts w:ascii="Helvetica" w:eastAsia="Times New Roman" w:hAnsi="Helvetica" w:cs="Helvetica"/>
          <w:sz w:val="20"/>
          <w:szCs w:val="24"/>
          <w:lang w:eastAsia="lt-LT"/>
        </w:rPr>
        <w:t>1. Išskirtas antikūnas arba antigeną surišantis jo fragmentas, kuris specifiškai rišasi su CD73, apimantis V</w:t>
      </w:r>
      <w:r w:rsidRPr="006E4C81">
        <w:rPr>
          <w:rFonts w:ascii="Helvetica" w:eastAsia="Times New Roman" w:hAnsi="Helvetica" w:cs="Helvetica"/>
          <w:sz w:val="20"/>
          <w:szCs w:val="24"/>
          <w:vertAlign w:val="subscript"/>
          <w:lang w:eastAsia="lt-LT"/>
        </w:rPr>
        <w:t>L</w:t>
      </w:r>
      <w:r w:rsidRPr="006E4C81">
        <w:rPr>
          <w:rFonts w:ascii="Helvetica" w:eastAsia="Times New Roman" w:hAnsi="Helvetica" w:cs="Helvetica"/>
          <w:sz w:val="20"/>
          <w:szCs w:val="24"/>
          <w:lang w:eastAsia="lt-LT"/>
        </w:rPr>
        <w:t> ir V</w:t>
      </w:r>
      <w:r w:rsidRPr="006E4C81">
        <w:rPr>
          <w:rFonts w:ascii="Helvetica" w:eastAsia="Times New Roman" w:hAnsi="Helvetica" w:cs="Helvetica"/>
          <w:sz w:val="20"/>
          <w:szCs w:val="24"/>
          <w:vertAlign w:val="subscript"/>
          <w:lang w:eastAsia="lt-LT"/>
        </w:rPr>
        <w:t>H,</w:t>
      </w:r>
      <w:r w:rsidRPr="006E4C81">
        <w:rPr>
          <w:rFonts w:ascii="Helvetica" w:eastAsia="Times New Roman" w:hAnsi="Helvetica" w:cs="Helvetica"/>
          <w:sz w:val="20"/>
          <w:szCs w:val="24"/>
          <w:lang w:eastAsia="lt-LT"/>
        </w:rPr>
        <w:t> apimančius VL-CDR1, VL-CRD2, VL-CDR3, VH-CDR1, VH-CDR2 ir VH-CDR3, kurių aminorūgščių sekos yra SEQ ID Nr.: 46, 51, 56, 36, 39 ir 45,</w:t>
      </w:r>
      <w:r w:rsidRPr="006E4C81">
        <w:rPr>
          <w:rFonts w:ascii="Helvetica" w:hAnsi="Helvetica" w:cs="Helvetica"/>
          <w:sz w:val="20"/>
        </w:rPr>
        <w:t xml:space="preserve"> </w:t>
      </w:r>
      <w:r w:rsidRPr="006E4C81">
        <w:rPr>
          <w:rFonts w:ascii="Helvetica" w:eastAsia="Times New Roman" w:hAnsi="Helvetica" w:cs="Helvetica"/>
          <w:sz w:val="20"/>
          <w:szCs w:val="24"/>
          <w:lang w:eastAsia="lt-LT"/>
        </w:rPr>
        <w:t>atitinkamai</w:t>
      </w:r>
      <w:r w:rsidRPr="006E4C81">
        <w:rPr>
          <w:rFonts w:ascii="Helvetica" w:hAnsi="Helvetica" w:cs="Helvetica"/>
          <w:sz w:val="20"/>
        </w:rPr>
        <w:t>.</w:t>
      </w:r>
    </w:p>
    <w:p w14:paraId="536676F4"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p>
    <w:p w14:paraId="1CEE5179" w14:textId="77777777" w:rsidR="006E4C81" w:rsidRPr="006E4C81" w:rsidRDefault="006E4C81" w:rsidP="006E4C81">
      <w:pPr>
        <w:spacing w:after="0" w:line="360" w:lineRule="auto"/>
        <w:ind w:firstLine="567"/>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2. Išskirtas antikūnas arba antigeną surišantis jo fragmentas, kuris apima VL, apimantį SEQ ID Nr. 68 ir VH, apimantį SEQ ID Nr. 82.</w:t>
      </w:r>
    </w:p>
    <w:p w14:paraId="7DB858D5"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p>
    <w:p w14:paraId="2434E754" w14:textId="77777777" w:rsidR="006E4C81" w:rsidRPr="006E4C81" w:rsidRDefault="006E4C81" w:rsidP="006E4C81">
      <w:pPr>
        <w:spacing w:after="0" w:line="360" w:lineRule="auto"/>
        <w:ind w:firstLine="567"/>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3. Antikūnas arba antigeną surišantis jo fragmentas pagal 1 arba 2 punktą, kur CD73 yra žmogaus CD73.</w:t>
      </w:r>
    </w:p>
    <w:p w14:paraId="1C9B5669"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p>
    <w:p w14:paraId="0E4ECC45" w14:textId="77777777" w:rsidR="006E4C81" w:rsidRPr="006E4C81" w:rsidRDefault="006E4C81" w:rsidP="006E4C81">
      <w:pPr>
        <w:spacing w:after="0" w:line="360" w:lineRule="auto"/>
        <w:ind w:firstLine="567"/>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4. Antikūnas arba antigeną surišantis jo fragmentas pagal bet kurį iš 1-3 punktų, kur antikūnas, nukreiptas</w:t>
      </w:r>
      <w:r w:rsidRPr="006E4C81">
        <w:rPr>
          <w:rFonts w:ascii="Helvetica" w:hAnsi="Helvetica" w:cs="Helvetica"/>
          <w:sz w:val="20"/>
        </w:rPr>
        <w:t xml:space="preserve"> </w:t>
      </w:r>
      <w:r w:rsidRPr="006E4C81">
        <w:rPr>
          <w:rFonts w:ascii="Helvetica" w:eastAsia="Times New Roman" w:hAnsi="Helvetica" w:cs="Helvetica"/>
          <w:sz w:val="20"/>
          <w:szCs w:val="24"/>
          <w:lang w:eastAsia="lt-LT"/>
        </w:rPr>
        <w:t>prieš CD73, yra MEDI9447 arba Phen0203 hIgG1.</w:t>
      </w:r>
    </w:p>
    <w:p w14:paraId="7FFF2989"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p>
    <w:p w14:paraId="7AE96EFE" w14:textId="77777777" w:rsidR="006E4C81" w:rsidRPr="006E4C81" w:rsidRDefault="006E4C81" w:rsidP="006E4C81">
      <w:pPr>
        <w:spacing w:after="0" w:line="360" w:lineRule="auto"/>
        <w:ind w:firstLine="567"/>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5. Antikūnas arba antigeną surišantis jo fragmentas pagal bet kurį iš 1-4 punktų, skirti naudoti gydant vėžį.</w:t>
      </w:r>
    </w:p>
    <w:p w14:paraId="6853FAC9"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p>
    <w:p w14:paraId="78C8DC3D" w14:textId="77777777" w:rsidR="006E4C81" w:rsidRPr="006E4C81" w:rsidRDefault="006E4C81" w:rsidP="006E4C81">
      <w:pPr>
        <w:spacing w:after="0" w:line="360" w:lineRule="auto"/>
        <w:ind w:firstLine="567"/>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6. Antikūnas arba antigeną surišantis jo fragmentas, skirti naudoti pagal 5 punktą, kur vėžys yra parinktas iš grupės, susidedančios iš kolorektalinio vėžio, kasos vėžio, šlapimo pūslės vėžio, leukemijos, limfomos, gliomos, glioblastomos, melanomos, kiaušidžių vėžio, skydliaukės vėžio, stemplės vėžio, prostatos vėžio ir krūties vėžio.</w:t>
      </w:r>
    </w:p>
    <w:p w14:paraId="4CB60D97"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p>
    <w:p w14:paraId="7F343663" w14:textId="77777777" w:rsidR="006E4C81" w:rsidRPr="006E4C81" w:rsidRDefault="006E4C81" w:rsidP="006E4C81">
      <w:pPr>
        <w:spacing w:after="0" w:line="360" w:lineRule="auto"/>
        <w:ind w:firstLine="567"/>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 xml:space="preserve">7. Antikūnas arba antigeną surišantis jo fragmentas, skirti naudoti pagal bet kurį iš 5-6 punktų, kur subjektui yra taikoma, jam buvo taikyta arba jam bus taikoma terapija, nukreipta prieš PD-1, prieš PD-L1 arba prieš CTLA4. </w:t>
      </w:r>
    </w:p>
    <w:p w14:paraId="111780AF"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p>
    <w:p w14:paraId="4DB071D8" w14:textId="77777777" w:rsidR="006E4C81" w:rsidRPr="006E4C81" w:rsidRDefault="006E4C81" w:rsidP="006E4C81">
      <w:pPr>
        <w:spacing w:after="0" w:line="360" w:lineRule="auto"/>
        <w:ind w:firstLine="567"/>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8. Antikūnas arba antigeną surišantis jo fragmentas, skirti naudoti pagal 7 punktą, kur</w:t>
      </w:r>
      <w:r w:rsidRPr="006E4C81">
        <w:rPr>
          <w:rFonts w:ascii="Helvetica" w:hAnsi="Helvetica" w:cs="Helvetica"/>
          <w:sz w:val="20"/>
        </w:rPr>
        <w:t xml:space="preserve"> </w:t>
      </w:r>
      <w:r w:rsidRPr="006E4C81">
        <w:rPr>
          <w:rFonts w:ascii="Helvetica" w:eastAsia="Times New Roman" w:hAnsi="Helvetica" w:cs="Helvetica"/>
          <w:sz w:val="20"/>
          <w:szCs w:val="24"/>
          <w:lang w:eastAsia="lt-LT"/>
        </w:rPr>
        <w:t>terapija, nukreipta prieš PD-1, prieš PD-L1 arba prieš CTLA4 apima</w:t>
      </w:r>
      <w:r w:rsidRPr="006E4C81">
        <w:rPr>
          <w:rFonts w:ascii="Helvetica" w:hAnsi="Helvetica" w:cs="Helvetica"/>
          <w:sz w:val="20"/>
        </w:rPr>
        <w:t xml:space="preserve"> </w:t>
      </w:r>
      <w:r w:rsidRPr="006E4C81">
        <w:rPr>
          <w:rFonts w:ascii="Helvetica" w:eastAsia="Times New Roman" w:hAnsi="Helvetica" w:cs="Helvetica"/>
          <w:sz w:val="20"/>
          <w:szCs w:val="24"/>
          <w:lang w:eastAsia="lt-LT"/>
        </w:rPr>
        <w:t>antikūnų, nukreiptų prieš PD-1, prieš PD-L1 arba prieš</w:t>
      </w:r>
      <w:r w:rsidRPr="006E4C81">
        <w:rPr>
          <w:rFonts w:ascii="Helvetica" w:hAnsi="Helvetica" w:cs="Helvetica"/>
          <w:sz w:val="20"/>
        </w:rPr>
        <w:t xml:space="preserve"> </w:t>
      </w:r>
      <w:r w:rsidRPr="006E4C81">
        <w:rPr>
          <w:rFonts w:ascii="Helvetica" w:eastAsia="Times New Roman" w:hAnsi="Helvetica" w:cs="Helvetica"/>
          <w:sz w:val="20"/>
          <w:szCs w:val="24"/>
          <w:lang w:eastAsia="lt-LT"/>
        </w:rPr>
        <w:t>CTLA4 arba antigeną surišančių jų fragmentų skyrimą.</w:t>
      </w:r>
    </w:p>
    <w:p w14:paraId="050C551F"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p>
    <w:p w14:paraId="452A3E15" w14:textId="77777777" w:rsidR="006E4C81" w:rsidRPr="006E4C81" w:rsidRDefault="006E4C81" w:rsidP="006E4C81">
      <w:pPr>
        <w:spacing w:after="0" w:line="360" w:lineRule="auto"/>
        <w:ind w:firstLine="567"/>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 xml:space="preserve">9. Antikūnas arba antigeną surišantis jo fragmentas, skirti naudoti pagal 8 punktą, kur </w:t>
      </w:r>
      <w:bookmarkStart w:id="0" w:name="_Hlk73463275"/>
      <w:r w:rsidRPr="006E4C81">
        <w:rPr>
          <w:rFonts w:ascii="Helvetica" w:eastAsia="Times New Roman" w:hAnsi="Helvetica" w:cs="Helvetica"/>
          <w:sz w:val="20"/>
          <w:szCs w:val="24"/>
          <w:lang w:eastAsia="lt-LT"/>
        </w:rPr>
        <w:t>antikūnas, nukreiptas</w:t>
      </w:r>
      <w:r w:rsidRPr="006E4C81">
        <w:rPr>
          <w:rFonts w:ascii="Helvetica" w:hAnsi="Helvetica" w:cs="Helvetica"/>
          <w:sz w:val="20"/>
        </w:rPr>
        <w:t xml:space="preserve"> </w:t>
      </w:r>
      <w:r w:rsidRPr="006E4C81">
        <w:rPr>
          <w:rFonts w:ascii="Helvetica" w:eastAsia="Times New Roman" w:hAnsi="Helvetica" w:cs="Helvetica"/>
          <w:sz w:val="20"/>
          <w:szCs w:val="24"/>
          <w:lang w:eastAsia="lt-LT"/>
        </w:rPr>
        <w:t xml:space="preserve">prieš </w:t>
      </w:r>
      <w:bookmarkEnd w:id="0"/>
      <w:r w:rsidRPr="006E4C81">
        <w:rPr>
          <w:rFonts w:ascii="Helvetica" w:eastAsia="Times New Roman" w:hAnsi="Helvetica" w:cs="Helvetica"/>
          <w:sz w:val="20"/>
          <w:szCs w:val="24"/>
          <w:lang w:eastAsia="lt-LT"/>
        </w:rPr>
        <w:t>PD-1, yra pembrolizumabas (KEYTRUDA®, lambrolizumabas, MK-3475), nivolumabas (OPDIVA®, BMS-936558, MDX-1106, ONO-4538), AMP-224 arba antigeną surišantis jų fragmentas.</w:t>
      </w:r>
    </w:p>
    <w:p w14:paraId="009C91D6"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p>
    <w:p w14:paraId="119368EE" w14:textId="77777777" w:rsidR="006E4C81" w:rsidRPr="006E4C81" w:rsidRDefault="006E4C81" w:rsidP="006E4C81">
      <w:pPr>
        <w:spacing w:after="0" w:line="360" w:lineRule="auto"/>
        <w:ind w:firstLine="567"/>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10. Antikūnas arba antigeną surišantis jo fragmentas, skirti naudoti pagal 8 punktą, kur</w:t>
      </w:r>
      <w:r w:rsidRPr="006E4C81">
        <w:rPr>
          <w:rFonts w:ascii="Helvetica" w:hAnsi="Helvetica" w:cs="Helvetica"/>
          <w:sz w:val="20"/>
        </w:rPr>
        <w:t xml:space="preserve"> </w:t>
      </w:r>
      <w:r w:rsidRPr="006E4C81">
        <w:rPr>
          <w:rFonts w:ascii="Helvetica" w:eastAsia="Times New Roman" w:hAnsi="Helvetica" w:cs="Helvetica"/>
          <w:sz w:val="20"/>
          <w:szCs w:val="24"/>
          <w:lang w:eastAsia="lt-LT"/>
        </w:rPr>
        <w:t>antikūnas, nukreiptas prieš PD-L1, yra MEDI4736, BMS-936559 arba MPDL3280A, arba antigeną surišantys jų fragmentai.</w:t>
      </w:r>
    </w:p>
    <w:p w14:paraId="5F2D300D"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p>
    <w:p w14:paraId="639953E6" w14:textId="77777777" w:rsidR="006E4C81" w:rsidRPr="006E4C81" w:rsidRDefault="006E4C81" w:rsidP="006E4C81">
      <w:pPr>
        <w:spacing w:after="0" w:line="360" w:lineRule="auto"/>
        <w:ind w:firstLine="567"/>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11. Antikūnas arba antigeną surišantis jo fragmentas, skirti naudoti pagal 8 punktą, kur antikūnas, nukreiptas prieš CTLA-4, yra ipilimumabas, tremelimumabas (ticilimumabas, CP-675,206) arba antigeną surišantis jų fragmentas.</w:t>
      </w:r>
    </w:p>
    <w:p w14:paraId="0C3499BE"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p>
    <w:p w14:paraId="58FAB2D0" w14:textId="77777777" w:rsidR="006E4C81" w:rsidRPr="006E4C81" w:rsidRDefault="006E4C81" w:rsidP="006E4C81">
      <w:pPr>
        <w:spacing w:after="0" w:line="360" w:lineRule="auto"/>
        <w:ind w:firstLine="567"/>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12. Farmacinė kompozicija, apimanti</w:t>
      </w:r>
      <w:r w:rsidRPr="006E4C81">
        <w:rPr>
          <w:rFonts w:ascii="Helvetica" w:hAnsi="Helvetica" w:cs="Helvetica"/>
          <w:sz w:val="20"/>
        </w:rPr>
        <w:t xml:space="preserve"> </w:t>
      </w:r>
      <w:r w:rsidRPr="006E4C81">
        <w:rPr>
          <w:rFonts w:ascii="Helvetica" w:eastAsia="Times New Roman" w:hAnsi="Helvetica" w:cs="Helvetica"/>
          <w:sz w:val="20"/>
          <w:szCs w:val="24"/>
          <w:lang w:eastAsia="lt-LT"/>
        </w:rPr>
        <w:t>antikūno, nukreipto prieš CD73, arba antigeną surišančio jo fragmento pagal bet kurį iš 1-4 punktų veiksmingą kiekį ir</w:t>
      </w:r>
    </w:p>
    <w:p w14:paraId="24AAB686"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 xml:space="preserve">(i) </w:t>
      </w:r>
      <w:bookmarkStart w:id="1" w:name="_Hlk73463412"/>
      <w:r w:rsidRPr="006E4C81">
        <w:rPr>
          <w:rFonts w:ascii="Helvetica" w:eastAsia="Times New Roman" w:hAnsi="Helvetica" w:cs="Helvetica"/>
          <w:sz w:val="20"/>
          <w:szCs w:val="24"/>
          <w:lang w:eastAsia="lt-LT"/>
        </w:rPr>
        <w:t xml:space="preserve">antikūną, nukreiptą prieš </w:t>
      </w:r>
      <w:bookmarkEnd w:id="1"/>
      <w:r w:rsidRPr="006E4C81">
        <w:rPr>
          <w:rFonts w:ascii="Helvetica" w:eastAsia="Times New Roman" w:hAnsi="Helvetica" w:cs="Helvetica"/>
          <w:sz w:val="20"/>
          <w:szCs w:val="24"/>
          <w:lang w:eastAsia="lt-LT"/>
        </w:rPr>
        <w:t>PD-L1, arba antigeną surišantį jo fragmentą; arba</w:t>
      </w:r>
    </w:p>
    <w:p w14:paraId="4428E7CE"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lastRenderedPageBreak/>
        <w:t>(ii) antikūną, nukreiptą prieš CTLA4, arba antigeną surišantį jo fragmentą.</w:t>
      </w:r>
    </w:p>
    <w:p w14:paraId="70519B5B" w14:textId="77777777" w:rsidR="006E4C81" w:rsidRPr="006E4C81" w:rsidRDefault="006E4C81" w:rsidP="006E4C81">
      <w:pPr>
        <w:spacing w:after="0" w:line="360" w:lineRule="auto"/>
        <w:jc w:val="both"/>
        <w:rPr>
          <w:rFonts w:ascii="Helvetica" w:eastAsia="Times New Roman" w:hAnsi="Helvetica" w:cs="Helvetica"/>
          <w:sz w:val="20"/>
          <w:szCs w:val="24"/>
          <w:lang w:eastAsia="lt-LT"/>
        </w:rPr>
      </w:pPr>
    </w:p>
    <w:p w14:paraId="26CBA601" w14:textId="77777777" w:rsidR="00AF2550" w:rsidRDefault="006E4C81" w:rsidP="00AF2550">
      <w:pPr>
        <w:spacing w:after="0" w:line="360" w:lineRule="auto"/>
        <w:ind w:firstLine="567"/>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13. Farmacinė kompozicija pagal 12 punktą, kur antikūnas, nukreiptas prieš PD-L1, yra MEDI4736, BMS-936559 arba MPDL3280A arba antigeną surišantis jų fragmentas.</w:t>
      </w:r>
    </w:p>
    <w:p w14:paraId="0477E721" w14:textId="77777777" w:rsidR="00AF2550" w:rsidRDefault="00AF2550" w:rsidP="00AF2550">
      <w:pPr>
        <w:spacing w:after="0" w:line="360" w:lineRule="auto"/>
        <w:ind w:firstLine="567"/>
        <w:jc w:val="both"/>
        <w:rPr>
          <w:rFonts w:ascii="Helvetica" w:eastAsia="Times New Roman" w:hAnsi="Helvetica" w:cs="Helvetica"/>
          <w:sz w:val="20"/>
          <w:szCs w:val="24"/>
          <w:lang w:eastAsia="lt-LT"/>
        </w:rPr>
      </w:pPr>
    </w:p>
    <w:p w14:paraId="6527AF57" w14:textId="6DAC4249" w:rsidR="006E4C81" w:rsidRPr="006E4C81" w:rsidRDefault="006E4C81" w:rsidP="00AF2550">
      <w:pPr>
        <w:spacing w:after="0" w:line="360" w:lineRule="auto"/>
        <w:ind w:firstLine="567"/>
        <w:jc w:val="both"/>
        <w:rPr>
          <w:rFonts w:ascii="Helvetica" w:eastAsia="Times New Roman" w:hAnsi="Helvetica" w:cs="Helvetica"/>
          <w:sz w:val="20"/>
          <w:szCs w:val="24"/>
          <w:lang w:eastAsia="lt-LT"/>
        </w:rPr>
      </w:pPr>
      <w:r w:rsidRPr="006E4C81">
        <w:rPr>
          <w:rFonts w:ascii="Helvetica" w:eastAsia="Times New Roman" w:hAnsi="Helvetica" w:cs="Helvetica"/>
          <w:sz w:val="20"/>
          <w:szCs w:val="24"/>
          <w:lang w:eastAsia="lt-LT"/>
        </w:rPr>
        <w:t>14. Farmacinė kompozicija pagal 12 punktą, kur antikūnas, nukreiptas prieš CTLA4, yra ipilimumabas arba tremelimumabas (ticilimumabas, CP-675,206) arba antigeną surišantis jų fragmentas.</w:t>
      </w:r>
    </w:p>
    <w:p w14:paraId="3890EFA2" w14:textId="77777777" w:rsidR="007B24E9" w:rsidRPr="006E4C81" w:rsidRDefault="007B24E9" w:rsidP="006E4C81">
      <w:pPr>
        <w:spacing w:after="0" w:line="360" w:lineRule="auto"/>
        <w:jc w:val="both"/>
        <w:rPr>
          <w:rFonts w:ascii="Helvetica" w:hAnsi="Helvetica" w:cs="Helvetica"/>
          <w:sz w:val="20"/>
        </w:rPr>
      </w:pPr>
    </w:p>
    <w:sectPr w:rsidR="007B24E9" w:rsidRPr="006E4C81" w:rsidSect="006E4C81">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9B1C9" w14:textId="77777777" w:rsidR="00F50B24" w:rsidRDefault="00F50B24" w:rsidP="006E4C81">
      <w:pPr>
        <w:spacing w:after="0" w:line="240" w:lineRule="auto"/>
      </w:pPr>
      <w:r>
        <w:separator/>
      </w:r>
    </w:p>
  </w:endnote>
  <w:endnote w:type="continuationSeparator" w:id="0">
    <w:p w14:paraId="65E4540E" w14:textId="77777777" w:rsidR="00F50B24" w:rsidRDefault="00F50B24" w:rsidP="006E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629A2" w14:textId="77777777" w:rsidR="00F50B24" w:rsidRDefault="00F50B24" w:rsidP="006E4C81">
      <w:pPr>
        <w:spacing w:after="0" w:line="240" w:lineRule="auto"/>
      </w:pPr>
      <w:r>
        <w:separator/>
      </w:r>
    </w:p>
  </w:footnote>
  <w:footnote w:type="continuationSeparator" w:id="0">
    <w:p w14:paraId="09499AE5" w14:textId="77777777" w:rsidR="00F50B24" w:rsidRDefault="00F50B24" w:rsidP="006E4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81"/>
    <w:rsid w:val="000D4599"/>
    <w:rsid w:val="002F6125"/>
    <w:rsid w:val="006E4C81"/>
    <w:rsid w:val="007B24E9"/>
    <w:rsid w:val="00AF2550"/>
    <w:rsid w:val="00B42DC1"/>
    <w:rsid w:val="00F5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FE032"/>
  <w15:chartTrackingRefBased/>
  <w15:docId w15:val="{280DC4D8-7C47-4BE9-B5E9-CA4BC6D7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4C81"/>
    <w:pPr>
      <w:spacing w:line="259" w:lineRule="auto"/>
    </w:pPr>
    <w:rPr>
      <w:kern w:val="0"/>
      <w:sz w:val="22"/>
      <w:szCs w:val="22"/>
      <w:lang w:val="lt-LT"/>
      <w14:ligatures w14:val="none"/>
    </w:rPr>
  </w:style>
  <w:style w:type="paragraph" w:styleId="Antrat1">
    <w:name w:val="heading 1"/>
    <w:basedOn w:val="prastasis"/>
    <w:next w:val="prastasis"/>
    <w:link w:val="Antrat1Diagrama"/>
    <w:uiPriority w:val="9"/>
    <w:qFormat/>
    <w:rsid w:val="006E4C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6E4C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6E4C81"/>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6E4C81"/>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Antrat5">
    <w:name w:val="heading 5"/>
    <w:basedOn w:val="prastasis"/>
    <w:next w:val="prastasis"/>
    <w:link w:val="Antrat5Diagrama"/>
    <w:uiPriority w:val="9"/>
    <w:semiHidden/>
    <w:unhideWhenUsed/>
    <w:qFormat/>
    <w:rsid w:val="006E4C81"/>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Antrat6">
    <w:name w:val="heading 6"/>
    <w:basedOn w:val="prastasis"/>
    <w:next w:val="prastasis"/>
    <w:link w:val="Antrat6Diagrama"/>
    <w:uiPriority w:val="9"/>
    <w:semiHidden/>
    <w:unhideWhenUsed/>
    <w:qFormat/>
    <w:rsid w:val="006E4C81"/>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Antrat7">
    <w:name w:val="heading 7"/>
    <w:basedOn w:val="prastasis"/>
    <w:next w:val="prastasis"/>
    <w:link w:val="Antrat7Diagrama"/>
    <w:uiPriority w:val="9"/>
    <w:semiHidden/>
    <w:unhideWhenUsed/>
    <w:qFormat/>
    <w:rsid w:val="006E4C81"/>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Antrat8">
    <w:name w:val="heading 8"/>
    <w:basedOn w:val="prastasis"/>
    <w:next w:val="prastasis"/>
    <w:link w:val="Antrat8Diagrama"/>
    <w:uiPriority w:val="9"/>
    <w:semiHidden/>
    <w:unhideWhenUsed/>
    <w:qFormat/>
    <w:rsid w:val="006E4C81"/>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Antrat9">
    <w:name w:val="heading 9"/>
    <w:basedOn w:val="prastasis"/>
    <w:next w:val="prastasis"/>
    <w:link w:val="Antrat9Diagrama"/>
    <w:uiPriority w:val="9"/>
    <w:semiHidden/>
    <w:unhideWhenUsed/>
    <w:qFormat/>
    <w:rsid w:val="006E4C81"/>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4C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E4C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E4C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E4C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E4C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E4C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4C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4C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4C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4C8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6E4C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4C81"/>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6E4C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4C81"/>
    <w:pPr>
      <w:spacing w:before="160" w:line="278" w:lineRule="auto"/>
      <w:jc w:val="center"/>
    </w:pPr>
    <w:rPr>
      <w:i/>
      <w:iCs/>
      <w:color w:val="404040" w:themeColor="text1" w:themeTint="BF"/>
      <w:kern w:val="2"/>
      <w:sz w:val="24"/>
      <w:szCs w:val="24"/>
      <w:lang w:val="en-US"/>
      <w14:ligatures w14:val="standardContextual"/>
    </w:rPr>
  </w:style>
  <w:style w:type="character" w:customStyle="1" w:styleId="CitataDiagrama">
    <w:name w:val="Citata Diagrama"/>
    <w:basedOn w:val="Numatytasispastraiposriftas"/>
    <w:link w:val="Citata"/>
    <w:uiPriority w:val="29"/>
    <w:rsid w:val="006E4C81"/>
    <w:rPr>
      <w:i/>
      <w:iCs/>
      <w:color w:val="404040" w:themeColor="text1" w:themeTint="BF"/>
    </w:rPr>
  </w:style>
  <w:style w:type="paragraph" w:styleId="Sraopastraipa">
    <w:name w:val="List Paragraph"/>
    <w:basedOn w:val="prastasis"/>
    <w:uiPriority w:val="34"/>
    <w:qFormat/>
    <w:rsid w:val="006E4C81"/>
    <w:pPr>
      <w:spacing w:line="278" w:lineRule="auto"/>
      <w:ind w:left="720"/>
      <w:contextualSpacing/>
    </w:pPr>
    <w:rPr>
      <w:kern w:val="2"/>
      <w:sz w:val="24"/>
      <w:szCs w:val="24"/>
      <w:lang w:val="en-US"/>
      <w14:ligatures w14:val="standardContextual"/>
    </w:rPr>
  </w:style>
  <w:style w:type="character" w:styleId="Rykuspabraukimas">
    <w:name w:val="Intense Emphasis"/>
    <w:basedOn w:val="Numatytasispastraiposriftas"/>
    <w:uiPriority w:val="21"/>
    <w:qFormat/>
    <w:rsid w:val="006E4C81"/>
    <w:rPr>
      <w:i/>
      <w:iCs/>
      <w:color w:val="0F4761" w:themeColor="accent1" w:themeShade="BF"/>
    </w:rPr>
  </w:style>
  <w:style w:type="paragraph" w:styleId="Iskirtacitata">
    <w:name w:val="Intense Quote"/>
    <w:basedOn w:val="prastasis"/>
    <w:next w:val="prastasis"/>
    <w:link w:val="IskirtacitataDiagrama"/>
    <w:uiPriority w:val="30"/>
    <w:qFormat/>
    <w:rsid w:val="006E4C8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skirtacitataDiagrama">
    <w:name w:val="Išskirta citata Diagrama"/>
    <w:basedOn w:val="Numatytasispastraiposriftas"/>
    <w:link w:val="Iskirtacitata"/>
    <w:uiPriority w:val="30"/>
    <w:rsid w:val="006E4C81"/>
    <w:rPr>
      <w:i/>
      <w:iCs/>
      <w:color w:val="0F4761" w:themeColor="accent1" w:themeShade="BF"/>
    </w:rPr>
  </w:style>
  <w:style w:type="character" w:styleId="Rykinuoroda">
    <w:name w:val="Intense Reference"/>
    <w:basedOn w:val="Numatytasispastraiposriftas"/>
    <w:uiPriority w:val="32"/>
    <w:qFormat/>
    <w:rsid w:val="006E4C81"/>
    <w:rPr>
      <w:b/>
      <w:bCs/>
      <w:smallCaps/>
      <w:color w:val="0F4761" w:themeColor="accent1" w:themeShade="BF"/>
      <w:spacing w:val="5"/>
    </w:rPr>
  </w:style>
  <w:style w:type="paragraph" w:styleId="Antrats">
    <w:name w:val="header"/>
    <w:basedOn w:val="prastasis"/>
    <w:link w:val="AntratsDiagrama"/>
    <w:uiPriority w:val="99"/>
    <w:unhideWhenUsed/>
    <w:rsid w:val="006E4C8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E4C81"/>
    <w:rPr>
      <w:kern w:val="0"/>
      <w:sz w:val="22"/>
      <w:szCs w:val="22"/>
      <w:lang w:val="lt-LT"/>
      <w14:ligatures w14:val="none"/>
    </w:rPr>
  </w:style>
  <w:style w:type="paragraph" w:styleId="Porat">
    <w:name w:val="footer"/>
    <w:basedOn w:val="prastasis"/>
    <w:link w:val="PoratDiagrama"/>
    <w:uiPriority w:val="99"/>
    <w:unhideWhenUsed/>
    <w:rsid w:val="006E4C8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E4C81"/>
    <w:rPr>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3</cp:revision>
  <dcterms:created xsi:type="dcterms:W3CDTF">2024-11-18T08:19:00Z</dcterms:created>
  <dcterms:modified xsi:type="dcterms:W3CDTF">2024-11-29T08:16:00Z</dcterms:modified>
</cp:coreProperties>
</file>