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492E" w14:textId="77777777" w:rsidR="000D1173" w:rsidRPr="00D759C8" w:rsidRDefault="00BA2E9F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Kieta geriamoji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forma, kuri yra tabletė arba kapsulė,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apimanti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89F3047" w14:textId="77777777" w:rsidR="000D1173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(A) šerd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į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apimančią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jungin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į</w:t>
      </w:r>
      <w:r w:rsidRPr="00D759C8">
        <w:rPr>
          <w:rFonts w:ascii="Helvetica" w:hAnsi="Helvetica" w:cs="Arial"/>
          <w:sz w:val="20"/>
          <w:szCs w:val="24"/>
          <w:lang w:val="lt-LT"/>
        </w:rPr>
        <w:t>, parinkt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ą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iš: </w:t>
      </w:r>
    </w:p>
    <w:p w14:paraId="527AA672" w14:textId="02C8CB56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41CBC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85pt;height:140.95pt">
            <v:imagedata r:id="rId6" o:title=""/>
          </v:shape>
        </w:pict>
      </w:r>
    </w:p>
    <w:p w14:paraId="4F11BB91" w14:textId="4B40F051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2B060FA4">
          <v:shape id="_x0000_i1026" type="#_x0000_t75" style="width:449.6pt;height:97.7pt">
            <v:imagedata r:id="rId7" o:title=""/>
          </v:shape>
        </w:pict>
      </w:r>
    </w:p>
    <w:p w14:paraId="4A7C6961" w14:textId="3E02711A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0E60F02D">
          <v:shape id="_x0000_i1027" type="#_x0000_t75" style="width:438.1pt;height:155.85pt">
            <v:imagedata r:id="rId8" o:title=""/>
          </v:shape>
        </w:pict>
      </w:r>
    </w:p>
    <w:p w14:paraId="2FFF709A" w14:textId="39129BDD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7BF2C9DD">
          <v:shape id="_x0000_i1028" type="#_x0000_t75" style="width:438.1pt;height:140.95pt">
            <v:imagedata r:id="rId9" o:title=""/>
          </v:shape>
        </w:pict>
      </w:r>
    </w:p>
    <w:p w14:paraId="1816DDE0" w14:textId="7EEFE4AC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lastRenderedPageBreak/>
        <w:pict w14:anchorId="1CC8CF8E">
          <v:shape id="_x0000_i1029" type="#_x0000_t75" style="width:443.85pt;height:174.1pt">
            <v:imagedata r:id="rId10" o:title=""/>
          </v:shape>
        </w:pict>
      </w:r>
    </w:p>
    <w:p w14:paraId="051321DB" w14:textId="1B3264FB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23E19224">
          <v:shape id="_x0000_i1030" type="#_x0000_t75" style="width:439.45pt;height:224.45pt">
            <v:imagedata r:id="rId11" o:title=""/>
          </v:shape>
        </w:pict>
      </w:r>
    </w:p>
    <w:p w14:paraId="35E5011E" w14:textId="1C844766" w:rsidR="008D7FAC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>;</w:t>
      </w:r>
    </w:p>
    <w:p w14:paraId="2D689F1C" w14:textId="77777777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(B) enterinę dangą;</w:t>
      </w:r>
    </w:p>
    <w:p w14:paraId="21ACCC64" w14:textId="27F4AD27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(C) antrin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ę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 xml:space="preserve">dangą </w:t>
      </w:r>
      <w:r w:rsidRPr="00D759C8">
        <w:rPr>
          <w:rFonts w:ascii="Helvetica" w:hAnsi="Helvetica" w:cs="Arial"/>
          <w:sz w:val="20"/>
          <w:szCs w:val="24"/>
          <w:lang w:val="lt-LT"/>
        </w:rPr>
        <w:t>tarp enterinės dangos ir šerdies, kur antrin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ė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danga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yra:</w:t>
      </w:r>
    </w:p>
    <w:p w14:paraId="5051A7B6" w14:textId="00FAEB2F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(1)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vandenyje tirpus arba hidrofilinis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irus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polimeras, kur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 xml:space="preserve"> minėtas polimeras yra mažos molekulinės masės polimeras</w:t>
      </w:r>
      <w:r w:rsidRPr="00D759C8">
        <w:rPr>
          <w:rFonts w:ascii="Helvetica" w:hAnsi="Helvetica" w:cs="Arial"/>
          <w:sz w:val="20"/>
          <w:szCs w:val="24"/>
          <w:lang w:val="lt-LT"/>
        </w:rPr>
        <w:t>, parinktas iš hidroksimetilceliuliozės (HPMC), hidroksietilceliuliozės, hidroksimetilceliuliozės, hidroksipropilceliuliozės, mikrokristalinės celiuliozės, polivinilpirolidionų, polisacharidų (arba polisacharido darini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),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 xml:space="preserve">polivinilo alkoholių, polietileno </w:t>
      </w:r>
      <w:r w:rsidRPr="00D759C8">
        <w:rPr>
          <w:rFonts w:ascii="Helvetica" w:hAnsi="Helvetica" w:cs="Arial"/>
          <w:sz w:val="20"/>
          <w:szCs w:val="24"/>
          <w:lang w:val="lt-LT"/>
        </w:rPr>
        <w:t>glikolio (PEG), polipropilen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D759C8">
        <w:rPr>
          <w:rFonts w:ascii="Helvetica" w:hAnsi="Helvetica" w:cs="Arial"/>
          <w:sz w:val="20"/>
          <w:szCs w:val="24"/>
          <w:lang w:val="lt-LT"/>
        </w:rPr>
        <w:t>glikolio (PPG) ir PEG-PPG blokini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kopolimer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>; arba</w:t>
      </w:r>
    </w:p>
    <w:p w14:paraId="01370A8B" w14:textId="7753AB61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(2)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vandenyje netirpi kompozicij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a</w:t>
      </w:r>
      <w:r w:rsidRPr="00D759C8">
        <w:rPr>
          <w:rFonts w:ascii="Helvetica" w:hAnsi="Helvetica" w:cs="Arial"/>
          <w:sz w:val="20"/>
          <w:szCs w:val="24"/>
          <w:lang w:val="lt-LT"/>
        </w:rPr>
        <w:t>, apiman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ti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: (i) vandenyje tirpaus junginio daleles, galinčias sudaryti kanalus vandenyje netirpioje kompozicijoje; arba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(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ii) vandenyje netirpias hidrofilines daleles, kurios, susilietus su vandenine terpe, sukelia 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antrinės dangos brinkimą</w:t>
      </w:r>
      <w:r w:rsidRPr="00D759C8">
        <w:rPr>
          <w:rFonts w:ascii="Helvetica" w:hAnsi="Helvetica" w:cs="Arial"/>
          <w:sz w:val="20"/>
          <w:szCs w:val="24"/>
          <w:lang w:val="lt-LT"/>
        </w:rPr>
        <w:t>; ir</w:t>
      </w:r>
    </w:p>
    <w:p w14:paraId="379C2015" w14:textId="09760B01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(D) farmaciniu požiūriu priimtin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ą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pagalbin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ę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medžiag</w:t>
      </w:r>
      <w:r w:rsidR="00DD32F6" w:rsidRPr="00D759C8">
        <w:rPr>
          <w:rFonts w:ascii="Helvetica" w:hAnsi="Helvetica" w:cs="Arial"/>
          <w:sz w:val="20"/>
          <w:szCs w:val="24"/>
          <w:lang w:val="lt-LT"/>
        </w:rPr>
        <w:t>ą</w:t>
      </w:r>
      <w:r w:rsidRPr="00D759C8">
        <w:rPr>
          <w:rFonts w:ascii="Helvetica" w:hAnsi="Helvetica" w:cs="Arial"/>
          <w:sz w:val="20"/>
          <w:szCs w:val="24"/>
          <w:lang w:val="lt-LT"/>
        </w:rPr>
        <w:t>,</w:t>
      </w:r>
    </w:p>
    <w:p w14:paraId="7B879833" w14:textId="527A527D" w:rsidR="008D7FAC" w:rsidRPr="00D759C8" w:rsidRDefault="00515240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kur kieta geriamoji 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>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yra būdinga junginio ir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D759C8">
        <w:rPr>
          <w:rFonts w:ascii="Helvetica" w:hAnsi="Helvetica" w:cs="Arial"/>
          <w:sz w:val="20"/>
          <w:szCs w:val="24"/>
          <w:lang w:val="lt-LT"/>
        </w:rPr>
        <w:t>arba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>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>minė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tos farmaciniu požiūriu priimtinos 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759C8">
        <w:rPr>
          <w:rFonts w:ascii="Helvetica" w:hAnsi="Helvetica" w:cs="Arial"/>
          <w:sz w:val="20"/>
          <w:szCs w:val="24"/>
          <w:lang w:val="lt-LT"/>
        </w:rPr>
        <w:t>druskos išsiskyrimo pradžia iš šerdies (A) į žinduolio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plono</w:t>
      </w:r>
      <w:r w:rsidRPr="00D759C8">
        <w:rPr>
          <w:rFonts w:ascii="Helvetica" w:hAnsi="Helvetica" w:cs="Arial"/>
          <w:sz w:val="20"/>
          <w:szCs w:val="24"/>
          <w:lang w:val="lt-LT"/>
        </w:rPr>
        <w:t>jo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žarn</w:t>
      </w:r>
      <w:r w:rsidRPr="00D759C8">
        <w:rPr>
          <w:rFonts w:ascii="Helvetica" w:hAnsi="Helvetica" w:cs="Arial"/>
          <w:sz w:val="20"/>
          <w:szCs w:val="24"/>
          <w:lang w:val="lt-LT"/>
        </w:rPr>
        <w:t>yno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klubinės ir tiesiosios žarnos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 xml:space="preserve"> dalį po to, 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 xml:space="preserve">kai 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>žinduolis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nurijo dozavimo formą</w:t>
      </w:r>
      <w:r w:rsidR="008D7FAC" w:rsidRPr="00D759C8">
        <w:rPr>
          <w:rFonts w:ascii="Helvetica" w:hAnsi="Helvetica" w:cs="Arial"/>
          <w:sz w:val="20"/>
          <w:szCs w:val="24"/>
          <w:lang w:val="lt-LT"/>
        </w:rPr>
        <w:t>; ir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1BE6C847" w14:textId="72690B1A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kur 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 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per 120 minučių gali atpalaiduoti </w:t>
      </w:r>
      <w:r w:rsidR="001F34D0" w:rsidRPr="00D759C8">
        <w:rPr>
          <w:rFonts w:ascii="Helvetica" w:hAnsi="Helvetica" w:cs="Arial"/>
          <w:sz w:val="20"/>
          <w:szCs w:val="24"/>
          <w:lang w:val="lt-LT"/>
        </w:rPr>
        <w:t>bent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80 masės % minėto junginio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minėtos farmaciniu požiūriu priimtinos jo druskos tirpinimo inde, apimančiame vandeninį tirpalą, kurio pH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 xml:space="preserve"> vertė yra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nuo 6,4 iki 7,4.</w:t>
      </w:r>
    </w:p>
    <w:p w14:paraId="530B53CF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6DEFD4" w14:textId="64D4A8A6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lastRenderedPageBreak/>
        <w:t>2.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1 punktą, kur 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per 1,5 valandos gali atpalaiduoti mažiau nei 10 masės % minėto junginio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farmaciniu požiūriu priimtinos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759C8">
        <w:rPr>
          <w:rFonts w:ascii="Helvetica" w:hAnsi="Helvetica" w:cs="Arial"/>
          <w:sz w:val="20"/>
          <w:szCs w:val="24"/>
          <w:lang w:val="lt-LT"/>
        </w:rPr>
        <w:t>druskos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, esanči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 xml:space="preserve">šerdyje (A),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per 1,5 valandos tirpinimo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inde, apimančiame vandeninį tirpalą, kurio pH vertė yra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mažesn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ė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nei 3 arba pH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vertė yra </w:t>
      </w:r>
      <w:r w:rsidRPr="00D759C8">
        <w:rPr>
          <w:rFonts w:ascii="Helvetica" w:hAnsi="Helvetica" w:cs="Arial"/>
          <w:sz w:val="20"/>
          <w:szCs w:val="24"/>
          <w:lang w:val="lt-LT"/>
        </w:rPr>
        <w:t>nuo 4,5 iki 5,5.</w:t>
      </w:r>
    </w:p>
    <w:p w14:paraId="568EB63D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682C72" w14:textId="29B2904E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3.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1 arba 2 punktą, kur kieta geriamoji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atpalaiduoja junginį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minėtą farmaciniu požiūriu priimtiną jo druską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esanči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>u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s šerdyje (A),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kaip boliusą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į žinduolio plonojo žarnyno klubinę ir tiesiąją žarną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1BFA1FF7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221D1F" w14:textId="58820978" w:rsidR="000D1173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4.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3 punktų, kur šerdies (A) junginys yra parinktas iš: </w:t>
      </w:r>
    </w:p>
    <w:p w14:paraId="2AD5078E" w14:textId="2B1D841E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79A047CA">
          <v:shape id="_x0000_i1031" type="#_x0000_t75" style="width:331.6pt;height:159.2pt">
            <v:imagedata r:id="rId12" o:title=""/>
          </v:shape>
        </w:pict>
      </w:r>
    </w:p>
    <w:p w14:paraId="3BDBA96F" w14:textId="24773CB6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26A89B77">
          <v:shape id="_x0000_i1032" type="#_x0000_t75" style="width:431.3pt;height:138.6pt">
            <v:imagedata r:id="rId13" o:title=""/>
          </v:shape>
        </w:pict>
      </w:r>
    </w:p>
    <w:p w14:paraId="08C2A06E" w14:textId="275D1D5C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42D60C24">
          <v:shape id="_x0000_i1033" type="#_x0000_t75" style="width:390.1pt;height:130.5pt">
            <v:imagedata r:id="rId14" o:title=""/>
          </v:shape>
        </w:pict>
      </w:r>
    </w:p>
    <w:p w14:paraId="1347930D" w14:textId="2EEB7580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572FD77F">
          <v:shape id="_x0000_i1034" type="#_x0000_t75" style="width:438.1pt;height:95.3pt">
            <v:imagedata r:id="rId15" o:title=""/>
          </v:shape>
        </w:pict>
      </w:r>
    </w:p>
    <w:p w14:paraId="282876CC" w14:textId="2B3002AE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lastRenderedPageBreak/>
        <w:pict w14:anchorId="24FB356D">
          <v:shape id="_x0000_i1035" type="#_x0000_t75" style="width:444.85pt;height:174.1pt">
            <v:imagedata r:id="rId16" o:title=""/>
          </v:shape>
        </w:pict>
      </w:r>
    </w:p>
    <w:p w14:paraId="1380B035" w14:textId="3518392D" w:rsidR="000D1173" w:rsidRPr="00D759C8" w:rsidRDefault="00D759C8" w:rsidP="00D759C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pict w14:anchorId="470C92C6">
          <v:shape id="_x0000_i1036" type="#_x0000_t75" style="width:445.5pt;height:227.5pt">
            <v:imagedata r:id="rId17" o:title=""/>
          </v:shape>
        </w:pict>
      </w:r>
    </w:p>
    <w:p w14:paraId="2A9DD6E8" w14:textId="61EE1082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ir (arba)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6D28AB25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A9EAB1" w14:textId="146E64FC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5.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4 punktų, kur antrin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>ė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danga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(C) apima: (i) vandenyje tirpaus junginio daleles; arba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(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ii)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vandenyje netirpias hidrofilines daleles, kurios, susilietus su vandenine terpe, sukelia antrinės dangos brinkimą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45337244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486DFD" w14:textId="6ADC0A59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6.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4 punktų, kur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antrinė danga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(C) yra vandenyje netirpi kompozicija, apimanti vandenyje tirpaus junginio daleles, kurios sudaro kanalus, leidžiančius vandeniui patekti į kietą geriamąją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formą ir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junginio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>farmaciniu požiūriu priimtin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os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os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difuziją </w:t>
      </w:r>
      <w:r w:rsidRPr="00D759C8">
        <w:rPr>
          <w:rFonts w:ascii="Helvetica" w:hAnsi="Helvetica" w:cs="Arial"/>
          <w:sz w:val="20"/>
          <w:szCs w:val="24"/>
          <w:lang w:val="lt-LT"/>
        </w:rPr>
        <w:t>į žarnyną.</w:t>
      </w:r>
    </w:p>
    <w:p w14:paraId="073E7D7F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EE8E09" w14:textId="15A262A8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7.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4 punktų, kur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antrinė danga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(C) yra vandenyje netirpi kompozicija, apimanti vandenyje tirpaus junginio daleles, galinčias sudaryti kanalus, nepralaidžius jungini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os jo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drusk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os,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bet lei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džiančias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patekti vanden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iui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išbrinkti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bei plyšti 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>antrin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ei</w:t>
      </w:r>
      <w:r w:rsidR="0029203B" w:rsidRPr="00D759C8">
        <w:rPr>
          <w:rFonts w:ascii="Helvetica" w:hAnsi="Helvetica" w:cs="Arial"/>
          <w:sz w:val="20"/>
          <w:szCs w:val="24"/>
          <w:lang w:val="lt-LT"/>
        </w:rPr>
        <w:t xml:space="preserve"> danga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i</w:t>
      </w:r>
      <w:r w:rsidRPr="00D759C8">
        <w:rPr>
          <w:rFonts w:ascii="Helvetica" w:hAnsi="Helvetica" w:cs="Arial"/>
          <w:sz w:val="20"/>
          <w:szCs w:val="24"/>
          <w:lang w:val="lt-LT"/>
        </w:rPr>
        <w:t>, sukel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iant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junginio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farmaciniu požiūriu priimtinos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druskos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atsipalaidavimą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2E55EB79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F342C5" w14:textId="367C66D8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8.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7 punktų, kur vandeninis tirpalas yra imituotas žarnyno skystis, kurio pH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yra nuo 6,4 iki 7,4.</w:t>
      </w:r>
    </w:p>
    <w:p w14:paraId="698CF50F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4914C9" w14:textId="3C10A1A7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lastRenderedPageBreak/>
        <w:t>9.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8 punktų, kur 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apima farmaciniu požiūriu priimtiną junginio rūgš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čiąją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druską.</w:t>
      </w:r>
    </w:p>
    <w:p w14:paraId="25D2EEA8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F3AA84" w14:textId="21A16FBC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10.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9 punktų, kur šerdis (A) 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>dar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apima:</w:t>
      </w:r>
    </w:p>
    <w:p w14:paraId="2EE175DA" w14:textId="6513BC89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(a) farmaciniu požiūriu priimtinos rūgšties kiek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į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kurio pakanka rūgštiniam vandeniniam tirpalui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paruošti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kietoje geriamojoje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formoje prieš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atpalaiduojant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junginį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farmaciniu požiūriu priimtiną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druską, esančią </w:t>
      </w:r>
      <w:r w:rsidRPr="00D759C8">
        <w:rPr>
          <w:rFonts w:ascii="Helvetica" w:hAnsi="Helvetica" w:cs="Arial"/>
          <w:sz w:val="20"/>
          <w:szCs w:val="24"/>
          <w:lang w:val="lt-LT"/>
        </w:rPr>
        <w:t>šerd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yje,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iš kietos geriamosios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formos;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</w:p>
    <w:p w14:paraId="1A72F541" w14:textId="1F50B030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b) paviršinio aktyvumo medžiag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>ą</w:t>
      </w:r>
      <w:r w:rsidRPr="00D759C8">
        <w:rPr>
          <w:rFonts w:ascii="Helvetica" w:hAnsi="Helvetica" w:cs="Arial"/>
          <w:sz w:val="20"/>
          <w:szCs w:val="24"/>
          <w:lang w:val="lt-LT"/>
        </w:rPr>
        <w:t>, kurios koncentracija viršija kritinę micelių koncentraciją, kai ji suskaidoma 50 ml vandeninės terpės.</w:t>
      </w:r>
    </w:p>
    <w:p w14:paraId="3D799C09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C8345B" w14:textId="4233BE67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11.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10 punktų, kur vidutinis junginio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farmaciniu požiūriu priimtinos 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759C8">
        <w:rPr>
          <w:rFonts w:ascii="Helvetica" w:hAnsi="Helvetica" w:cs="Arial"/>
          <w:sz w:val="20"/>
          <w:szCs w:val="24"/>
          <w:lang w:val="lt-LT"/>
        </w:rPr>
        <w:t>druskos dalelių dydis yra nuo 0,3 mikronų iki 100 mikronų.</w:t>
      </w:r>
    </w:p>
    <w:p w14:paraId="230FE55D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7ACC86" w14:textId="194CE64E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12.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66311F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11 punktų, kur enterinė danga (B):</w:t>
      </w:r>
    </w:p>
    <w:p w14:paraId="4C05245E" w14:textId="77777777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a) sudaro nuo 10 % iki 150 % šerdies masės;</w:t>
      </w:r>
    </w:p>
    <w:p w14:paraId="7C51155E" w14:textId="77777777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b) yra nuo 5 iki 500 mikronų storio;</w:t>
      </w:r>
    </w:p>
    <w:p w14:paraId="4DADB494" w14:textId="4FE79D3B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(c) yra parinkta iš polimerizuotos želatinos, šelako, metakrilo rūgšties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 xml:space="preserve">CNF 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 xml:space="preserve">tipo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kopolimero, celiuliozės butirato ftalato, celiuliozės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hidro</w:t>
      </w:r>
      <w:r w:rsidRPr="00D759C8">
        <w:rPr>
          <w:rFonts w:ascii="Helvetica" w:hAnsi="Helvetica" w:cs="Arial"/>
          <w:sz w:val="20"/>
          <w:szCs w:val="24"/>
          <w:lang w:val="lt-LT"/>
        </w:rPr>
        <w:t>ftalato, celiuliozės proprionato ftalato, polivinil</w:t>
      </w:r>
      <w:r w:rsidR="00A109A9" w:rsidRPr="00D759C8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D759C8">
        <w:rPr>
          <w:rFonts w:ascii="Helvetica" w:hAnsi="Helvetica" w:cs="Arial"/>
          <w:sz w:val="20"/>
          <w:szCs w:val="24"/>
          <w:lang w:val="lt-LT"/>
        </w:rPr>
        <w:t>acetato ftalato (PVAP),</w:t>
      </w:r>
      <w:r w:rsidR="009A370E" w:rsidRPr="00D759C8">
        <w:rPr>
          <w:rFonts w:ascii="Helvetica" w:hAnsi="Helvetica"/>
          <w:sz w:val="20"/>
          <w:lang w:val="lt-LT"/>
        </w:rPr>
        <w:t xml:space="preserve">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celiuliozės acetato trimelitato (CAT), hidroksipropilmetilceliuliozės ftalato, hidroksipropilmetilceliuliozės acetato, dioksipropilmetilceliuliozės sukcinato, karboksimetiletilceliuliozės (CMEC), hidroksipropilmetilceliuliozės acetato sukcinato (HPMCAS) ir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ir (met)akrilo rūgšties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polimerų ir kop</w:t>
      </w:r>
      <w:r w:rsidR="00132781" w:rsidRPr="00D759C8">
        <w:rPr>
          <w:rFonts w:ascii="Helvetica" w:hAnsi="Helvetica" w:cs="Arial"/>
          <w:sz w:val="20"/>
          <w:szCs w:val="24"/>
          <w:lang w:val="lt-LT"/>
        </w:rPr>
        <w:t>o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limerų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kur minėti polimerai yra pagaminti iš vieno monomero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ir minėti ko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polimerai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yra pagaminti iš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d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viejų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ar daugiau monomerų,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kur minėti monomerai yra parinkti iš metilo akrilato, etilo akrilato, metil</w:t>
      </w:r>
      <w:r w:rsidR="00132781" w:rsidRPr="00D759C8">
        <w:rPr>
          <w:rFonts w:ascii="Helvetica" w:hAnsi="Helvetica" w:cs="Arial"/>
          <w:sz w:val="20"/>
          <w:szCs w:val="24"/>
          <w:lang w:val="lt-LT"/>
        </w:rPr>
        <w:t xml:space="preserve">o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metakrilato ir etilo metakrilato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pageidautina</w:t>
      </w:r>
      <w:r w:rsidRPr="00D759C8">
        <w:rPr>
          <w:rFonts w:ascii="Helvetica" w:hAnsi="Helvetica" w:cs="Arial"/>
          <w:sz w:val="20"/>
          <w:szCs w:val="24"/>
          <w:lang w:val="lt-LT"/>
        </w:rPr>
        <w:t>, k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ur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enterinė danga apima poli(met)akrilato polimerą, kur enterinė danga pasirinktinai yra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 xml:space="preserve">L arba S serijos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Eudragit®, ir 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dar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>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kur enterinė danga yra Eudragit® L100, L12.5, S100, S12.5 arba FS 30D;</w:t>
      </w:r>
    </w:p>
    <w:p w14:paraId="1BF56E4E" w14:textId="130BCE42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(d) apima celiuliozės darinį,</w:t>
      </w:r>
      <w:r w:rsidR="009A370E" w:rsidRPr="00D759C8">
        <w:rPr>
          <w:rFonts w:ascii="Helvetica" w:hAnsi="Helvetica" w:cs="Arial"/>
          <w:sz w:val="20"/>
          <w:szCs w:val="24"/>
          <w:lang w:val="lt-LT"/>
        </w:rPr>
        <w:t xml:space="preserve"> pageidautina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kur celiuliozės darinys yra parinktas iš metilceliuliozės, celiuliozės acetato ftalato, hidroksimetilceliuliozės ftalato (HPMCP), hidroksipropilmetilceliuliozės sukcinato (HPMCS) ir hidroksimetilceliuliozės acetato sukcinato (HPMCAS);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</w:p>
    <w:p w14:paraId="31956653" w14:textId="0BDEE020" w:rsidR="008D7FAC" w:rsidRPr="00D759C8" w:rsidRDefault="008D7FAC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 xml:space="preserve">(e)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apima polivinil</w:t>
      </w:r>
      <w:r w:rsidR="00132781" w:rsidRPr="00D759C8">
        <w:rPr>
          <w:rFonts w:ascii="Helvetica" w:hAnsi="Helvetica" w:cs="Arial"/>
          <w:sz w:val="20"/>
          <w:szCs w:val="24"/>
          <w:lang w:val="lt-LT"/>
        </w:rPr>
        <w:t xml:space="preserve">o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acetato ftalato (PVAP) polimerą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07E9A413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7ACE86" w14:textId="282686B3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13.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12 punktų, kur farmaciniu požiūriu priimtina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pagalbinė medžiaga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(D) yra nepriklausomai parinkta iš rišiklių, paviršinio aktyvumo medžiagų, skiediklių, buferių, antiadhe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zinių medžiagų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slydimo medžiagų, dezintegrantų, antioksidantų,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priešpučių</w:t>
      </w:r>
      <w:r w:rsidRPr="00D759C8">
        <w:rPr>
          <w:rFonts w:ascii="Helvetica" w:hAnsi="Helvetica" w:cs="Arial"/>
          <w:sz w:val="20"/>
          <w:szCs w:val="24"/>
          <w:lang w:val="lt-LT"/>
        </w:rPr>
        <w:t>, užpildų, kvapiųjų medžiagų, dažikli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lubrikantų</w:t>
      </w:r>
      <w:r w:rsidRPr="00D759C8">
        <w:rPr>
          <w:rFonts w:ascii="Helvetica" w:hAnsi="Helvetica" w:cs="Arial"/>
          <w:sz w:val="20"/>
          <w:szCs w:val="24"/>
          <w:lang w:val="lt-LT"/>
        </w:rPr>
        <w:t>, sorbent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>, konservant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>, plastifikatori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ir saldikli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ų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p w14:paraId="09C7F541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FB275B" w14:textId="24D420CD" w:rsidR="008D7FAC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14.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 pagal bet kurį iš 1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-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>13 punktų, skirta naudoti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ligos, gydomos BTK slopinimu, gydymo būd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ą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pacientui, kuriam pripažintas to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ks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poreikis, kur minėtas būdas apima </w:t>
      </w:r>
      <w:r w:rsidR="00132781" w:rsidRPr="00D759C8">
        <w:rPr>
          <w:rFonts w:ascii="Helvetica" w:hAnsi="Helvetica" w:cs="Arial"/>
          <w:sz w:val="20"/>
          <w:szCs w:val="24"/>
          <w:lang w:val="lt-LT"/>
        </w:rPr>
        <w:t xml:space="preserve">įvedimą pacientui </w:t>
      </w:r>
      <w:r w:rsidRPr="00D759C8">
        <w:rPr>
          <w:rFonts w:ascii="Helvetica" w:hAnsi="Helvetica" w:cs="Arial"/>
          <w:sz w:val="20"/>
          <w:szCs w:val="24"/>
          <w:lang w:val="lt-LT"/>
        </w:rPr>
        <w:t>terapiškai veiksmingo kiekio jungin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io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>ir (arba)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>farmaciniu požiūriu priimtin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</w:t>
      </w:r>
      <w:r w:rsidR="005E5738" w:rsidRPr="00D759C8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os, esančios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iš šerd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yje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(A)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vienkartinėmis arba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daugkartinėmis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dozėmis.</w:t>
      </w:r>
    </w:p>
    <w:p w14:paraId="25E7438D" w14:textId="77777777" w:rsidR="000D1173" w:rsidRPr="00D759C8" w:rsidRDefault="000D1173" w:rsidP="00D759C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3CA326" w14:textId="05CEA1EB" w:rsidR="00B67649" w:rsidRPr="00D759C8" w:rsidRDefault="008D7FAC" w:rsidP="00D759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59C8">
        <w:rPr>
          <w:rFonts w:ascii="Helvetica" w:hAnsi="Helvetica" w:cs="Arial"/>
          <w:sz w:val="20"/>
          <w:szCs w:val="24"/>
          <w:lang w:val="lt-LT"/>
        </w:rPr>
        <w:t>15.</w:t>
      </w:r>
      <w:r w:rsidR="000D1173"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Kieta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geriamoji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15240" w:rsidRPr="00D759C8">
        <w:rPr>
          <w:rFonts w:ascii="Helvetica" w:hAnsi="Helvetica" w:cs="Arial"/>
          <w:sz w:val="20"/>
          <w:szCs w:val="24"/>
          <w:lang w:val="lt-LT"/>
        </w:rPr>
        <w:t>dozavimo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forma, skirta naudoti pagal 14 punktą, kur liga yra parinkta iš autoimuninės ligos, vėžio ir uždegiminės ligos,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pageidautina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leukemijos arba limfomos, ir 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dar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,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59C8">
        <w:rPr>
          <w:rFonts w:ascii="Helvetica" w:hAnsi="Helvetica" w:cs="Arial"/>
          <w:sz w:val="20"/>
          <w:szCs w:val="24"/>
          <w:lang w:val="lt-LT"/>
        </w:rPr>
        <w:lastRenderedPageBreak/>
        <w:t>kur leukemija yra parinkta iš lėtinės limfocitinės leukemijos (LLL), maž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osios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limfocitinė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leukemij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(SLL), daugybinė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mielom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</w:t>
      </w:r>
      <w:r w:rsidRPr="00D759C8">
        <w:rPr>
          <w:rFonts w:ascii="Helvetica" w:hAnsi="Helvetica" w:cs="Arial"/>
          <w:sz w:val="20"/>
          <w:szCs w:val="24"/>
          <w:lang w:val="lt-LT"/>
        </w:rPr>
        <w:t>, mantijos ląstelių limfom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</w:t>
      </w:r>
      <w:r w:rsidRPr="00D759C8">
        <w:rPr>
          <w:rFonts w:ascii="Helvetica" w:hAnsi="Helvetica" w:cs="Arial"/>
          <w:sz w:val="20"/>
          <w:szCs w:val="24"/>
          <w:lang w:val="lt-LT"/>
        </w:rPr>
        <w:t xml:space="preserve"> ir B ląstelių ne Hodžkino limfom</w:t>
      </w:r>
      <w:r w:rsidR="009B30C3" w:rsidRPr="00D759C8">
        <w:rPr>
          <w:rFonts w:ascii="Helvetica" w:hAnsi="Helvetica" w:cs="Arial"/>
          <w:sz w:val="20"/>
          <w:szCs w:val="24"/>
          <w:lang w:val="lt-LT"/>
        </w:rPr>
        <w:t>os</w:t>
      </w:r>
      <w:r w:rsidRPr="00D759C8">
        <w:rPr>
          <w:rFonts w:ascii="Helvetica" w:hAnsi="Helvetica" w:cs="Arial"/>
          <w:sz w:val="20"/>
          <w:szCs w:val="24"/>
          <w:lang w:val="lt-LT"/>
        </w:rPr>
        <w:t>.</w:t>
      </w:r>
    </w:p>
    <w:sectPr w:rsidR="00B67649" w:rsidRPr="00D759C8" w:rsidSect="00D759C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93F0" w14:textId="77777777" w:rsidR="006D316A" w:rsidRDefault="006D316A" w:rsidP="007B0A41">
      <w:pPr>
        <w:spacing w:after="0" w:line="240" w:lineRule="auto"/>
      </w:pPr>
      <w:r>
        <w:separator/>
      </w:r>
    </w:p>
  </w:endnote>
  <w:endnote w:type="continuationSeparator" w:id="0">
    <w:p w14:paraId="3C7992BA" w14:textId="77777777" w:rsidR="006D316A" w:rsidRDefault="006D316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23F2" w14:textId="77777777" w:rsidR="006D316A" w:rsidRDefault="006D316A" w:rsidP="007B0A41">
      <w:pPr>
        <w:spacing w:after="0" w:line="240" w:lineRule="auto"/>
      </w:pPr>
      <w:r>
        <w:separator/>
      </w:r>
    </w:p>
  </w:footnote>
  <w:footnote w:type="continuationSeparator" w:id="0">
    <w:p w14:paraId="4D6ABDB4" w14:textId="77777777" w:rsidR="006D316A" w:rsidRDefault="006D316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0D1173"/>
    <w:rsid w:val="00120AC9"/>
    <w:rsid w:val="00121D84"/>
    <w:rsid w:val="00125716"/>
    <w:rsid w:val="001308ED"/>
    <w:rsid w:val="00132781"/>
    <w:rsid w:val="00145EBC"/>
    <w:rsid w:val="001668DF"/>
    <w:rsid w:val="00192F10"/>
    <w:rsid w:val="001A0135"/>
    <w:rsid w:val="001A3E8E"/>
    <w:rsid w:val="001C33D1"/>
    <w:rsid w:val="001F266E"/>
    <w:rsid w:val="001F34D0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203B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1774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3920"/>
    <w:rsid w:val="004F35B0"/>
    <w:rsid w:val="00501F3F"/>
    <w:rsid w:val="00510879"/>
    <w:rsid w:val="00515240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E5738"/>
    <w:rsid w:val="005F62B9"/>
    <w:rsid w:val="00601E69"/>
    <w:rsid w:val="006049CC"/>
    <w:rsid w:val="00617E21"/>
    <w:rsid w:val="00620797"/>
    <w:rsid w:val="006375BB"/>
    <w:rsid w:val="0066311F"/>
    <w:rsid w:val="00675FB8"/>
    <w:rsid w:val="00683EAE"/>
    <w:rsid w:val="006A0B81"/>
    <w:rsid w:val="006A20BA"/>
    <w:rsid w:val="006A5176"/>
    <w:rsid w:val="006B1A30"/>
    <w:rsid w:val="006C3CD4"/>
    <w:rsid w:val="006C5EA4"/>
    <w:rsid w:val="006C673E"/>
    <w:rsid w:val="006D15AB"/>
    <w:rsid w:val="006D316A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D7FAC"/>
    <w:rsid w:val="008E0E9E"/>
    <w:rsid w:val="0090596D"/>
    <w:rsid w:val="00907FD8"/>
    <w:rsid w:val="009156F1"/>
    <w:rsid w:val="00916226"/>
    <w:rsid w:val="00947ACD"/>
    <w:rsid w:val="00963C86"/>
    <w:rsid w:val="0096629D"/>
    <w:rsid w:val="00971B8A"/>
    <w:rsid w:val="00972206"/>
    <w:rsid w:val="009766FA"/>
    <w:rsid w:val="009820C7"/>
    <w:rsid w:val="0098532A"/>
    <w:rsid w:val="00992879"/>
    <w:rsid w:val="009A370E"/>
    <w:rsid w:val="009B2E35"/>
    <w:rsid w:val="009B30C3"/>
    <w:rsid w:val="009B6C12"/>
    <w:rsid w:val="009C10C1"/>
    <w:rsid w:val="009D77D6"/>
    <w:rsid w:val="00A02F0C"/>
    <w:rsid w:val="00A07615"/>
    <w:rsid w:val="00A109A9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97774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759C8"/>
    <w:rsid w:val="00D97F6E"/>
    <w:rsid w:val="00DB2CA9"/>
    <w:rsid w:val="00DB375D"/>
    <w:rsid w:val="00DD27CC"/>
    <w:rsid w:val="00DD32F6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7444A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FE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6166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2023-03-20T13:24:00Z</dcterms:created>
  <dcterms:modified xsi:type="dcterms:W3CDTF">2023-03-20T13:24:00Z</dcterms:modified>
</cp:coreProperties>
</file>