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57DC" w14:textId="02C2A61A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1.</w:t>
      </w:r>
      <w:r w:rsidR="005602DA" w:rsidRPr="005602DA">
        <w:rPr>
          <w:rFonts w:ascii="Helvetica" w:hAnsi="Helvetica" w:cs="Times New Roman"/>
          <w:b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Tabletė, kurios veiklioji medžiaga yra bedakvilino fumaratas ir kurią sudaro vidinis ir išorinis granuliuoti sluoksniai, kai:</w:t>
      </w:r>
    </w:p>
    <w:p w14:paraId="3A2D5A08" w14:textId="035B2560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 xml:space="preserve">vidinį granuliuotą sluoksnį sudaro netirpi pagalbinė medžiaga ir (arba) skiediklis ir jis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skiriasi tuo, kad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 xml:space="preserve"> vidiniame granuliuotame sluoksnyje nėra tirpios pagalbinės medžiagos ir (arba) skiediklio – krakmolo; ir</w:t>
      </w:r>
    </w:p>
    <w:p w14:paraId="78E3A6D7" w14:textId="44D88ADD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-</w:t>
      </w:r>
      <w:r w:rsidR="002B1637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  <w:t>išorinį granuliuotą sluoksnį sudaro netirpi pagalbinė medžiaga ir (arba) skiediklis.</w:t>
      </w:r>
    </w:p>
    <w:p w14:paraId="28459257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</w:pPr>
    </w:p>
    <w:p w14:paraId="50848050" w14:textId="1AAAEC7A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2.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 pagal 1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kurios vidiniame granuliuotame sluoksnyje nėra tirpių pagalbinių medžiagų ir (arba) skiediklių.</w:t>
      </w:r>
    </w:p>
    <w:p w14:paraId="2FE116CB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063B60CC" w14:textId="25C46D92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3.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 pagal 1 arba 2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kurioje netirpi pagalbinė medžiaga ir (arba) skiediklis vidiniame granuliuotame sluoksnyje yra mikrokristalinė celiuliozė.</w:t>
      </w:r>
    </w:p>
    <w:p w14:paraId="11C7690F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2EFD1C85" w14:textId="337D097F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4.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Tabletė, kurios veiklioji medžiaga yra bedakvilino fumaratas ir kurią sudaro vidinis ir išorinis granuliuoti sluoksniai, k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ur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vidinį granuliuotą sluoksnį sudaro netirpi pagalbinė medžiaga ir (arba) skiediklis – mikrokristalinė celiuliozė, o išorinį granuliuotą sluoksnį sudaro netirpi pagalbinė medžiaga ir (arba) skiediklis – mikrokristalinė celiuliozė.</w:t>
      </w:r>
    </w:p>
    <w:p w14:paraId="2F49F21F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3F3BECD0" w14:textId="2FC7429C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5.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 pagal 4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kurios vidiniame granuliuotame sluoksnyje nėra tirpių pagalbinių medžiagų ir (arba) skiediklių.</w:t>
      </w:r>
    </w:p>
    <w:p w14:paraId="4D4A1B49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78F8C0E0" w14:textId="6B771075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6.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Tabletės kompozicija, k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ur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skirtingas jos dalis, konkrečiai, vidinę ir išorinę granuliuota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s frakcijas bei rišamąją dalį, sudaro toliau nurodytos sudedamosios dalys pagal bendrą kompozicijos masę:</w:t>
      </w:r>
    </w:p>
    <w:p w14:paraId="7A0C3EFE" w14:textId="43226FCE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Vidinė granuliuota frakcija</w:t>
      </w:r>
    </w:p>
    <w:p w14:paraId="42D98C96" w14:textId="10055283" w:rsidR="00560293" w:rsidRPr="005602DA" w:rsidRDefault="00E65686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5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50 proc. veikliosios medžiagos bedakvilino fumarato</w:t>
      </w:r>
    </w:p>
    <w:p w14:paraId="2EF32924" w14:textId="75373D69" w:rsidR="00560293" w:rsidRPr="005602DA" w:rsidRDefault="00E65686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10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50 proc. netirpios pagalbinės medžiagos ir (arba) skiediklio</w:t>
      </w:r>
    </w:p>
    <w:p w14:paraId="417E0AF7" w14:textId="094AF692" w:rsidR="00560293" w:rsidRPr="005602DA" w:rsidRDefault="00E65686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1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5 proc. dezintegranto</w:t>
      </w:r>
    </w:p>
    <w:p w14:paraId="1B778B1C" w14:textId="44303A00" w:rsidR="00560293" w:rsidRPr="005602DA" w:rsidRDefault="00E65686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uo 0,1 iki 5 proc. glidanto</w:t>
      </w:r>
    </w:p>
    <w:p w14:paraId="542081CB" w14:textId="6800756D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Rišamoji medžiaga</w:t>
      </w:r>
    </w:p>
    <w:p w14:paraId="7E2033AA" w14:textId="404CCAF7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1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10 proc. rišamosios medžiagos arba polimero</w:t>
      </w:r>
    </w:p>
    <w:p w14:paraId="346B08AE" w14:textId="459D3FAB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uo 0,01 iki 5 proc. drėkinamosios arba paviršinio aktyvumo medžiagos</w:t>
      </w:r>
    </w:p>
    <w:p w14:paraId="0938C1DF" w14:textId="709969D6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t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irpiklis (tiek, kiek reikia), pvz., vanduo – jei reikia (t. y. tik tiek, kiek reikia, jei reikia)</w:t>
      </w:r>
    </w:p>
    <w:p w14:paraId="61724680" w14:textId="6C1CD769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Išorinė granuliuota frakcija</w:t>
      </w:r>
    </w:p>
    <w:p w14:paraId="78078911" w14:textId="2B56E786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10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50 proc. netirpios pagalbinės medžiagos ir (arba) skiediklio</w:t>
      </w:r>
    </w:p>
    <w:p w14:paraId="542258F2" w14:textId="60F84315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1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5 proc. dezintegranto</w:t>
      </w:r>
    </w:p>
    <w:p w14:paraId="44BB1AD9" w14:textId="3D2E3D19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0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3 proc. glidanto</w:t>
      </w:r>
    </w:p>
    <w:p w14:paraId="5901D5FD" w14:textId="140A8456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Fonts w:ascii="Helvetica" w:hAnsi="Helvetica" w:cs="Times New Roman"/>
          <w:color w:val="000000"/>
          <w:sz w:val="20"/>
          <w:szCs w:val="24"/>
          <w:lang w:val="lt-LT"/>
        </w:rPr>
        <w:t>n</w:t>
      </w:r>
      <w:r w:rsidR="00560293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uo 0 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iki 5 proc. lubrikanto</w:t>
      </w:r>
    </w:p>
    <w:p w14:paraId="0424183F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</w:p>
    <w:p w14:paraId="367B3EFA" w14:textId="66DC7233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</w:pPr>
      <w:r w:rsidRPr="005602DA">
        <w:rPr>
          <w:rFonts w:ascii="Helvetica" w:hAnsi="Helvetica" w:cs="Times New Roman"/>
          <w:color w:val="000000"/>
          <w:spacing w:val="2"/>
          <w:sz w:val="20"/>
          <w:szCs w:val="24"/>
          <w:lang w:val="lt-LT"/>
        </w:rPr>
        <w:t>7.</w:t>
      </w:r>
      <w:r w:rsidR="002B1637" w:rsidRPr="005602DA">
        <w:rPr>
          <w:rFonts w:ascii="Helvetica" w:hAnsi="Helvetica" w:cs="Times New Roman"/>
          <w:color w:val="000000"/>
          <w:spacing w:val="2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  <w:t xml:space="preserve">Tabletės kompozicija pagal 6 </w:t>
      </w:r>
      <w:r w:rsidR="007C048C" w:rsidRPr="005602DA"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  <w:t>, kurios vidiniame granuliuotame sluoksnyje nėra tirpių pagalbinių medžiagų ir (arba) skiediklių; ir (arba), pasirinktinai, išorinėje granuliuotoje frakcijoje taip pat nėra tirpių pagalbinių medžiagų ir (arba) skiediklių.</w:t>
      </w:r>
    </w:p>
    <w:p w14:paraId="08255DA0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color w:val="000000"/>
          <w:spacing w:val="2"/>
          <w:sz w:val="20"/>
          <w:szCs w:val="24"/>
          <w:lang w:val="lt-LT"/>
        </w:rPr>
      </w:pPr>
    </w:p>
    <w:p w14:paraId="312BBE29" w14:textId="3B0FF4AC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>8.</w:t>
      </w:r>
      <w:r w:rsidR="002B1637" w:rsidRPr="005602DA">
        <w:rPr>
          <w:rFonts w:ascii="Helvetica" w:hAnsi="Helvetica" w:cs="Times New Roman"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Tabletės kompozicija pagal 6 arba 7</w:t>
      </w:r>
      <w:r w:rsidR="007C048C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 xml:space="preserve"> punktą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, kurią sudaro toliau nurodytos vidinės granuliuotos frakcijos, rišamosios medžiagos ir išorinės granuliuotos frakcijos kompozicijos pagal bendrą kompozicijos masę:</w:t>
      </w:r>
    </w:p>
    <w:p w14:paraId="762AED5A" w14:textId="2AA63EF1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lastRenderedPageBreak/>
        <w:t>Vidinė granuliuota frakcija</w:t>
      </w:r>
    </w:p>
    <w:p w14:paraId="67E09A51" w14:textId="7293C981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pacing w:val="2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  <w:t>24,18 proc. (arba maždaug 25 proc.) veikliosios medžiagos bedakvilino fumarato</w:t>
      </w:r>
    </w:p>
    <w:p w14:paraId="2E8D02BF" w14:textId="16E1E17A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29,82 proc. (arba maždaug 30 proc.) netirpios pagalbinės medžiagos ir (arba) skiediklio</w:t>
      </w:r>
    </w:p>
    <w:p w14:paraId="72AF33BF" w14:textId="403D9DF7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 proc. (arba maždaug 3 proc.) dezintegranto</w:t>
      </w:r>
    </w:p>
    <w:p w14:paraId="466128D6" w14:textId="12D2E8E7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2 proc. (arba maždaug 2 proc.) glidanto</w:t>
      </w:r>
    </w:p>
    <w:p w14:paraId="18687CBA" w14:textId="0E955B0E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Rišamoji medžiaga</w:t>
      </w:r>
    </w:p>
    <w:p w14:paraId="7B859D05" w14:textId="67AA629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 proc. (arba maždaug 3 proc.) rišamosios medžiagos arba polimero</w:t>
      </w:r>
    </w:p>
    <w:p w14:paraId="4FE5C486" w14:textId="3643F212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0,2 proc. (arba maždaug 0,2 proc.) drėkinamosios arba paviršinio aktyvumo medžiagos</w:t>
      </w:r>
    </w:p>
    <w:p w14:paraId="3CB11E53" w14:textId="3AA16FB3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t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irpiklis (tiek, kiek reikia), pvz., vanduo – jei reikia (t. y. tik tiek, kiek reikia, jei reikia)</w:t>
      </w:r>
    </w:p>
    <w:p w14:paraId="71E5213A" w14:textId="08A1B14B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Išorinė granuliuota frakcija</w:t>
      </w:r>
    </w:p>
    <w:p w14:paraId="7E38AE6B" w14:textId="67AA3AE1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pacing w:val="2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pacing w:val="2"/>
          <w:sz w:val="20"/>
          <w:szCs w:val="24"/>
          <w:lang w:val="lt-LT"/>
        </w:rPr>
        <w:t>32,3 proc. (arba maždaug 30 proc.) pagalbinės medžiagos ir (arba) skiediklio</w:t>
      </w:r>
    </w:p>
    <w:p w14:paraId="5F8844EB" w14:textId="5304512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 proc. (arba maždaug 3 proc.) dezintegranto</w:t>
      </w:r>
    </w:p>
    <w:p w14:paraId="09C8C391" w14:textId="6DC8FFA5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 xml:space="preserve">0,5 proc. (arba maždaug 0,5 proc.) glidanto </w:t>
      </w:r>
    </w:p>
    <w:p w14:paraId="76033D22" w14:textId="7147E27E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2 proc. (arba maždaug 2 proc.) lubrikanto</w:t>
      </w:r>
    </w:p>
    <w:p w14:paraId="498AE7F1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</w:p>
    <w:p w14:paraId="754D28AD" w14:textId="44830447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9.</w:t>
      </w:r>
      <w:r w:rsidR="002B1637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 xml:space="preserve">abletės kompozicija pagal 6 arba 7 </w:t>
      </w:r>
      <w:r w:rsidR="007C048C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, kurią sudaro toliau nurodytos vidinės granuliuotos frakcijos, rišamosios medžiagos ir išorinės granuliuotos frakcijos kompozicijos pagal bendrą kompozicijos masę:</w:t>
      </w:r>
    </w:p>
    <w:p w14:paraId="2C1E6145" w14:textId="5DB86AF9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Vidinė granuliuota frakcija</w:t>
      </w:r>
    </w:p>
    <w:p w14:paraId="2486679D" w14:textId="7EE9784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12,09 proc. veikliosios medžiagos bedakvilino fumarato</w:t>
      </w:r>
    </w:p>
    <w:p w14:paraId="5341B9D1" w14:textId="03D0DE3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41,41 proc. netirpios pagalbinės medžiagos ir (arba) skiediklio (silicifikuotos mikrokristalinės celiuliozės)</w:t>
      </w:r>
    </w:p>
    <w:p w14:paraId="1B826138" w14:textId="74914354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 proc. dezintegranto (krospovidono)</w:t>
      </w:r>
    </w:p>
    <w:p w14:paraId="73D85019" w14:textId="167A801B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2 proc. glidanto (koloidinio silicio dioksido)</w:t>
      </w:r>
    </w:p>
    <w:p w14:paraId="7D78DF09" w14:textId="77777777" w:rsidR="005602DA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Rišamoji medžiaga</w:t>
      </w:r>
    </w:p>
    <w:p w14:paraId="40A820B8" w14:textId="041A3BE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3,5 proc. rišamosios medžiagos arba polimero (hipromeliozės 5 cps)</w:t>
      </w:r>
    </w:p>
    <w:p w14:paraId="0CFC16CD" w14:textId="3DD3EBF1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pacing w:val="-4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pacing w:val="-4"/>
          <w:sz w:val="20"/>
          <w:szCs w:val="24"/>
          <w:lang w:val="lt-LT"/>
        </w:rPr>
        <w:t>0,2 proc. drėkinamosios arba paviršinio aktyvumo medžiagos (polisorbato 20)</w:t>
      </w:r>
    </w:p>
    <w:p w14:paraId="3E0375CA" w14:textId="629F52AB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t</w:t>
      </w:r>
      <w:r w:rsidR="00560293"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irpiklis (tiek, kiek reikia), pvz., vanduo – jei reikia (t. y. tik tiek, kiek reikia, jei reikia)</w:t>
      </w:r>
    </w:p>
    <w:p w14:paraId="25CA8C85" w14:textId="61BB8AA6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Išorinė granuliuota frakcija</w:t>
      </w:r>
    </w:p>
    <w:p w14:paraId="667D7E64" w14:textId="681AA86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32,3 proc. pagalbinės medžiagos ir (arba) skiediklio (silicifikuotos mikrokristalinės celiuliozės)</w:t>
      </w:r>
    </w:p>
    <w:p w14:paraId="7766A561" w14:textId="167380A3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3 proc. dezintegranto (krospovidono)</w:t>
      </w:r>
    </w:p>
    <w:p w14:paraId="37E37F63" w14:textId="3F61652F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0,5 proc. glidanto (koloidinio silicio dioksido)</w:t>
      </w:r>
    </w:p>
    <w:p w14:paraId="2D9ACA43" w14:textId="718CBDFC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color w:val="000000"/>
          <w:sz w:val="20"/>
          <w:szCs w:val="24"/>
          <w:lang w:val="lt-LT"/>
        </w:rPr>
        <w:t>2 proc. lubrikanto (natrio stearilfumarato)</w:t>
      </w:r>
    </w:p>
    <w:p w14:paraId="6429E800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color w:val="000000"/>
          <w:sz w:val="20"/>
          <w:szCs w:val="24"/>
          <w:lang w:val="lt-LT"/>
        </w:rPr>
      </w:pPr>
    </w:p>
    <w:p w14:paraId="264E4941" w14:textId="210FADD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10.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Tabletės kompozicija pagal 8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kurią sudaro:</w:t>
      </w:r>
    </w:p>
    <w:p w14:paraId="245CFF15" w14:textId="065F6239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Vidinė granuliuota frakcija</w:t>
      </w:r>
    </w:p>
    <w:p w14:paraId="1EB29283" w14:textId="75E2518C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24,18 mg bedakvilino fumarato</w:t>
      </w:r>
    </w:p>
    <w:p w14:paraId="43AB62D0" w14:textId="31ADDC1F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29,82 mg silicifikuotos mikrokristalinės celiuliozės</w:t>
      </w:r>
    </w:p>
    <w:p w14:paraId="20FA9A62" w14:textId="2254FE5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3 mg krospovidono</w:t>
      </w:r>
    </w:p>
    <w:p w14:paraId="49016CC1" w14:textId="0BD5C0E0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2 mg koloidinio silicio dioksido</w:t>
      </w:r>
    </w:p>
    <w:p w14:paraId="56B60912" w14:textId="0B59B732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3 mg hipromeliozės 5 cps</w:t>
      </w:r>
    </w:p>
    <w:p w14:paraId="2086D307" w14:textId="1DD83AEF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0,2 mg polisorbato 20</w:t>
      </w:r>
    </w:p>
    <w:p w14:paraId="6F5A8510" w14:textId="6B024331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šgrynintas vanduo (tiek, kiek reikia)</w:t>
      </w:r>
    </w:p>
    <w:p w14:paraId="7EAFA8A0" w14:textId="7E7372A4" w:rsidR="00560293" w:rsidRPr="005602DA" w:rsidRDefault="00C9194C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šorinė granuliuota frakcija</w:t>
      </w:r>
    </w:p>
    <w:p w14:paraId="33E4FF08" w14:textId="7EA7A975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32,3 mg silicifikuotos mikrokristalinės celiuliozės</w:t>
      </w:r>
    </w:p>
    <w:p w14:paraId="7318A7F3" w14:textId="641E6F7B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lastRenderedPageBreak/>
        <w:t>3 mg krospovidono</w:t>
      </w:r>
    </w:p>
    <w:p w14:paraId="13F01183" w14:textId="527B6D5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0,5 mg koloidinio silicio dioksido</w:t>
      </w:r>
    </w:p>
    <w:p w14:paraId="7BDC885B" w14:textId="5B2C6DC1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2 mg natrio stearilfumarato</w:t>
      </w:r>
    </w:p>
    <w:p w14:paraId="0431874C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56680CFC" w14:textId="57E3D9EE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11.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Tabletės kompozicija pagal 9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punktą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kurią sudaro:</w:t>
      </w:r>
    </w:p>
    <w:p w14:paraId="70C6F82F" w14:textId="1DD08F10" w:rsidR="00560293" w:rsidRPr="005602DA" w:rsidRDefault="00C9194C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V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idinė granuliuota frakcija</w:t>
      </w:r>
    </w:p>
    <w:p w14:paraId="1C2C1EB5" w14:textId="599A50F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24,18 mg bedakvilino fumarato</w:t>
      </w:r>
    </w:p>
    <w:p w14:paraId="63A2D480" w14:textId="28AB95B0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82,82 mg silicifikuotos mikrokristalinės celiuliozės</w:t>
      </w:r>
    </w:p>
    <w:p w14:paraId="78BF2F07" w14:textId="00326725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6 mg krospovidono</w:t>
      </w:r>
    </w:p>
    <w:p w14:paraId="597C1B66" w14:textId="42382D6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4 mg koloidinio silicio dioksido</w:t>
      </w:r>
    </w:p>
    <w:p w14:paraId="0933FBA3" w14:textId="1DC24E07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7 mg hipromeliozės 5 cps</w:t>
      </w:r>
    </w:p>
    <w:p w14:paraId="2A495F0D" w14:textId="6B3CFCFC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0,4 mg polisorbato 20</w:t>
      </w:r>
    </w:p>
    <w:p w14:paraId="5BD05076" w14:textId="06B16714" w:rsidR="00560293" w:rsidRPr="005602DA" w:rsidRDefault="00C9194C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šorinė granuliuota frakcija</w:t>
      </w:r>
    </w:p>
    <w:p w14:paraId="61AB976E" w14:textId="66FEAAAB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64,6 mg silicifikuotos mikrokristalinės celiuliozės</w:t>
      </w:r>
    </w:p>
    <w:p w14:paraId="0EDD4BA1" w14:textId="464BDA33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6 mg krospovidono</w:t>
      </w:r>
    </w:p>
    <w:p w14:paraId="5AAB0BD8" w14:textId="73DED2DA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 mg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koloidinio silicio dioksido</w:t>
      </w:r>
    </w:p>
    <w:p w14:paraId="6EF24BB0" w14:textId="09D2B7B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4 mg natrio stearilfumarato</w:t>
      </w:r>
    </w:p>
    <w:p w14:paraId="1D2F9BFE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604E8031" w14:textId="12F98792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12.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Tabletės kompozicija, k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ur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skirtingas jos dalis, konkrečiai, vidinę ir išorinę granuliuotas frakcijas bei rišamąją dalį, sudaro toliau nurodytos sudedamosios dalys pagal bendrą kompozicijos masę:</w:t>
      </w:r>
    </w:p>
    <w:p w14:paraId="3E98CF50" w14:textId="00F240C5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Vidinė granuliuota frakcija</w:t>
      </w:r>
    </w:p>
    <w:p w14:paraId="0925E759" w14:textId="0222EAB0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20 iki 40 proc. netirpios pagalbinės medžiagos ir (arba) skiediklio –</w:t>
      </w:r>
      <w:r w:rsidR="005602DA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mikrokristalinės celiuliozės</w:t>
      </w:r>
    </w:p>
    <w:p w14:paraId="0E28E41A" w14:textId="4E917D96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2 iki 4 proc. dezintegranto – krospovidono</w:t>
      </w:r>
    </w:p>
    <w:p w14:paraId="51C377B6" w14:textId="153291CA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0,5 iki 4 proc. glidanto – koloidinio silicio dioksido</w:t>
      </w:r>
    </w:p>
    <w:p w14:paraId="52D458C8" w14:textId="019EC13E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Rišamoji medžiaga</w:t>
      </w:r>
    </w:p>
    <w:p w14:paraId="375EDE6D" w14:textId="06ECD179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pacing w:val="-4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pacing w:val="-4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pacing w:val="-4"/>
          <w:sz w:val="20"/>
          <w:szCs w:val="24"/>
          <w:lang w:val="lt-LT"/>
        </w:rPr>
        <w:t>uo 2 iki 5 proc. rišamosios medžiagos arba polimero – hipromeliozės 5 cps</w:t>
      </w:r>
    </w:p>
    <w:p w14:paraId="4D87D968" w14:textId="3D2EF961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0,1 iki 1 proc. drėkinamosios arba paviršinio aktyvumo medžiagos – polisorbato 20</w:t>
      </w:r>
    </w:p>
    <w:p w14:paraId="6FAC5481" w14:textId="00352DEE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irpiklis (tiek, kiek reikia), pvz., vanduo – jei reikia (t. y. tik tiek, kiek reikia, jei reikia)</w:t>
      </w:r>
    </w:p>
    <w:p w14:paraId="4132BE04" w14:textId="74F1AC9B" w:rsidR="00560293" w:rsidRPr="00C9194C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C9194C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Išorinė granuliuota frakcija</w:t>
      </w:r>
    </w:p>
    <w:p w14:paraId="52B081AF" w14:textId="26E07A01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20 iki 40 proc. pagalbinės medžiagos ir (arba) skiediklio – mikrokristalinės celiuliozės</w:t>
      </w:r>
    </w:p>
    <w:p w14:paraId="586BF56F" w14:textId="1EE01F80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2 iki 4 proc. dezintegranto – krospovidono</w:t>
      </w:r>
    </w:p>
    <w:p w14:paraId="40B37B84" w14:textId="0ADC9065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0 iki 1 proc. glidanto – koloidinio silicio dioksido</w:t>
      </w:r>
    </w:p>
    <w:p w14:paraId="409648C6" w14:textId="657F19A0" w:rsidR="00560293" w:rsidRPr="005602DA" w:rsidRDefault="00E649BD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n</w:t>
      </w:r>
      <w:r w:rsidR="00560293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uo 1 iki 3 proc. lubrikanto – natrio stearilfumarato</w:t>
      </w:r>
    </w:p>
    <w:p w14:paraId="3A5C216C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215D5237" w14:textId="77777777" w:rsidR="005A5166" w:rsidRDefault="00560293" w:rsidP="00E649BD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13.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Tabletė arba tabletės kompozicija pagal bet kur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į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ankstesnių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skirta tuberkuliozei gydyti.</w:t>
      </w:r>
    </w:p>
    <w:p w14:paraId="58207D32" w14:textId="77777777" w:rsidR="005A5166" w:rsidRDefault="005A5166" w:rsidP="00E649BD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2C8698F6" w14:textId="1427DB9B" w:rsidR="00560293" w:rsidRPr="005602DA" w:rsidRDefault="00560293" w:rsidP="00E649BD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14.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 arba tabletės kompozicija, skirta vartoti vaikams ir (arba) geriatrinei populiacijai, kaip nurodyta 13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punkte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.</w:t>
      </w:r>
    </w:p>
    <w:p w14:paraId="3993995A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42A6E1DE" w14:textId="0DF4CF16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15.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Tabletė arba tabletės kompozicija pagal bet kur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į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ankstesnių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skirta tuberkuliozei gydyti kartu su viena ar daugiau kitų tuberkuliozei gydyti naudingų terapinių medžiagų.</w:t>
      </w:r>
    </w:p>
    <w:p w14:paraId="2E3250C2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1733ECF3" w14:textId="3E70AB6C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16.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Tuberkuliozei gydyti skirtas derinys, kurį sudaro tabletė arba tabletės kompozicija pagal bet kur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į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1–14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ir viena ar daugiau kitų tuberkuliozei gydyti naudingų terapinių medžiagų.</w:t>
      </w:r>
    </w:p>
    <w:p w14:paraId="4840B6E6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3E15DDF3" w14:textId="22F2123B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17.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Tabletės kompozicijos paruošimo procesas pagal bet kur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į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1–12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, kurį sudaro:</w:t>
      </w:r>
    </w:p>
    <w:p w14:paraId="67F08B8A" w14:textId="665AA807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a)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vidinės granuliuotos frakcijos gavimas naudojant bet kuri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ame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6–12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paminėtus vidinės granuliuotos frakcijos komponentus;</w:t>
      </w:r>
    </w:p>
    <w:p w14:paraId="12262C4A" w14:textId="7ED1FD08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b)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rišamosios frakcijos paruošimas naudojant bet kuri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ame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6–12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paminėtus rišamosios frakcijos komponentus;</w:t>
      </w:r>
    </w:p>
    <w:p w14:paraId="5D7DCFB9" w14:textId="39E82099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c)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išorinės granuliuotos frakcijos gavimas naudojant bet kuri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ame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iš 6–12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punktų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paminėtus išorinės granuliuotos frakcijos komponentus;</w:t>
      </w:r>
    </w:p>
    <w:p w14:paraId="3E96D8EE" w14:textId="77777777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ir šių frakcijų naudojimas kompozicijai paruošti.</w:t>
      </w:r>
    </w:p>
    <w:p w14:paraId="4AA21CD5" w14:textId="77777777" w:rsidR="005602DA" w:rsidRPr="005602DA" w:rsidRDefault="005602DA" w:rsidP="005602DA">
      <w:pPr>
        <w:pStyle w:val="a0"/>
        <w:widowControl/>
        <w:tabs>
          <w:tab w:val="left" w:pos="851"/>
        </w:tabs>
        <w:spacing w:line="360" w:lineRule="auto"/>
        <w:jc w:val="both"/>
        <w:rPr>
          <w:rFonts w:ascii="Helvetica" w:hAnsi="Helvetica" w:cs="Times New Roman"/>
          <w:bCs/>
          <w:color w:val="000000"/>
          <w:sz w:val="20"/>
          <w:szCs w:val="24"/>
          <w:lang w:val="lt-LT"/>
        </w:rPr>
      </w:pPr>
    </w:p>
    <w:p w14:paraId="3C0CEB71" w14:textId="62389124" w:rsidR="00560293" w:rsidRPr="005602DA" w:rsidRDefault="00560293" w:rsidP="005602DA">
      <w:pPr>
        <w:pStyle w:val="a0"/>
        <w:widowControl/>
        <w:tabs>
          <w:tab w:val="left" w:pos="851"/>
        </w:tabs>
        <w:spacing w:line="360" w:lineRule="auto"/>
        <w:ind w:firstLine="567"/>
        <w:jc w:val="both"/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</w:pPr>
      <w:r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>18.</w:t>
      </w:r>
      <w:r w:rsidR="002B1637" w:rsidRPr="005602DA">
        <w:rPr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Tabletės kompozicija, gaunama 17 </w:t>
      </w:r>
      <w:r w:rsidR="007C048C"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>punkte</w:t>
      </w:r>
      <w:r w:rsidRPr="005602DA">
        <w:rPr>
          <w:rStyle w:val="a"/>
          <w:rFonts w:ascii="Helvetica" w:hAnsi="Helvetica" w:cs="Times New Roman"/>
          <w:bCs/>
          <w:color w:val="000000"/>
          <w:sz w:val="20"/>
          <w:szCs w:val="24"/>
          <w:lang w:val="lt-LT"/>
        </w:rPr>
        <w:t xml:space="preserve"> aprašytu būdu.</w:t>
      </w:r>
    </w:p>
    <w:sectPr w:rsidR="00560293" w:rsidRPr="005602DA" w:rsidSect="005602DA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561F" w14:textId="77777777" w:rsidR="00B7495D" w:rsidRDefault="00B7495D" w:rsidP="00560293">
      <w:pPr>
        <w:spacing w:line="240" w:lineRule="auto"/>
      </w:pPr>
      <w:r>
        <w:separator/>
      </w:r>
    </w:p>
  </w:endnote>
  <w:endnote w:type="continuationSeparator" w:id="0">
    <w:p w14:paraId="3FB25BFB" w14:textId="77777777" w:rsidR="00B7495D" w:rsidRDefault="00B7495D" w:rsidP="00560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7F96" w14:textId="77777777" w:rsidR="00B7495D" w:rsidRDefault="00B7495D" w:rsidP="00560293">
      <w:pPr>
        <w:spacing w:line="240" w:lineRule="auto"/>
      </w:pPr>
      <w:r>
        <w:separator/>
      </w:r>
    </w:p>
  </w:footnote>
  <w:footnote w:type="continuationSeparator" w:id="0">
    <w:p w14:paraId="20758826" w14:textId="77777777" w:rsidR="00B7495D" w:rsidRDefault="00B7495D" w:rsidP="00560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1"/>
    <w:rsid w:val="00190231"/>
    <w:rsid w:val="002B1637"/>
    <w:rsid w:val="005131C3"/>
    <w:rsid w:val="00560293"/>
    <w:rsid w:val="005602DA"/>
    <w:rsid w:val="005A2697"/>
    <w:rsid w:val="005A5166"/>
    <w:rsid w:val="00611F7A"/>
    <w:rsid w:val="007C048C"/>
    <w:rsid w:val="00AA21B3"/>
    <w:rsid w:val="00B7495D"/>
    <w:rsid w:val="00C9194C"/>
    <w:rsid w:val="00E649BD"/>
    <w:rsid w:val="00E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ED37B"/>
  <w15:chartTrackingRefBased/>
  <w15:docId w15:val="{852505BB-2D50-4794-AD9D-7EFD91ED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0293"/>
    <w:pPr>
      <w:spacing w:after="0" w:line="320" w:lineRule="atLeast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">
    <w:name w:val="本文_"/>
    <w:basedOn w:val="Numatytasispastraiposriftas"/>
    <w:link w:val="a0"/>
    <w:rsid w:val="00560293"/>
    <w:rPr>
      <w:rFonts w:ascii="Arial" w:eastAsia="Arial" w:hAnsi="Arial" w:cs="Arial"/>
      <w:sz w:val="17"/>
      <w:szCs w:val="17"/>
    </w:rPr>
  </w:style>
  <w:style w:type="paragraph" w:customStyle="1" w:styleId="a0">
    <w:name w:val="本文"/>
    <w:basedOn w:val="prastasis"/>
    <w:link w:val="a"/>
    <w:rsid w:val="00560293"/>
    <w:pPr>
      <w:widowControl w:val="0"/>
      <w:spacing w:line="290" w:lineRule="auto"/>
    </w:pPr>
    <w:rPr>
      <w:rFonts w:ascii="Arial" w:eastAsia="Arial" w:hAnsi="Arial" w:cs="Arial"/>
      <w:kern w:val="2"/>
      <w:sz w:val="17"/>
      <w:szCs w:val="17"/>
      <w:lang w:val="en-GB"/>
      <w14:ligatures w14:val="standardContextual"/>
    </w:rPr>
  </w:style>
  <w:style w:type="paragraph" w:styleId="Antrats">
    <w:name w:val="header"/>
    <w:basedOn w:val="prastasis"/>
    <w:link w:val="AntratsDiagrama"/>
    <w:uiPriority w:val="99"/>
    <w:unhideWhenUsed/>
    <w:rsid w:val="0056029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0293"/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56029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0293"/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</dc:creator>
  <cp:keywords/>
  <dc:description/>
  <cp:lastModifiedBy>Rasa Gurčytė</cp:lastModifiedBy>
  <cp:revision>10</cp:revision>
  <dcterms:created xsi:type="dcterms:W3CDTF">2023-06-14T15:54:00Z</dcterms:created>
  <dcterms:modified xsi:type="dcterms:W3CDTF">2023-07-03T10:20:00Z</dcterms:modified>
</cp:coreProperties>
</file>