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57DC" w14:textId="02C2A61A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1.</w:t>
      </w:r>
      <w:r w:rsidR="005602DA" w:rsidRPr="005602DA">
        <w:rPr>
          <w:rFonts w:ascii="Helvetica" w:hAnsi="Helvetica" w:cs="Times New Roman"/>
          <w:b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Tabletė, kurios veiklioji medžiaga yra bedakvilino fumaratas ir kurią sudaro vidinis ir išorinis granuliuoti sluoksniai, kai:</w:t>
      </w:r>
    </w:p>
    <w:p w14:paraId="3A2D5A08" w14:textId="035B2560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vidinį granuliuotą sluoksnį sudaro netirpi pagalbinė medžiaga ir (arba) skiediklis ir jis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skiriasi tuo, kad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 vidiniame granuliuotame sluoksnyje nėra tirpios pagalbinės medžiagos ir (arba) skiediklio – krakmolo; ir</w:t>
      </w:r>
    </w:p>
    <w:p w14:paraId="78E3A6D7" w14:textId="44D88ADD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-</w:t>
      </w:r>
      <w:r w:rsidR="002B1637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išorinį granuliuotą sluoksnį sudaro netirpi pagalbinė medžiaga ir (arba) skiediklis.</w:t>
      </w:r>
    </w:p>
    <w:p w14:paraId="28459257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</w:p>
    <w:p w14:paraId="50848050" w14:textId="1AAAEC7A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2.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 pagal 1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kurios vidiniame granuliuotame sluoksnyje nėra tirpių pagalbinių medžiagų ir (arba) skiediklių.</w:t>
      </w:r>
    </w:p>
    <w:p w14:paraId="2FE116CB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063B60CC" w14:textId="25C46D92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3.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 pagal 1 arba 2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kurioje netirpi pagalbinė medžiaga ir (arba) skiediklis vidiniame granuliuotame sluoksnyje yra mikrokristalinė celiuliozė.</w:t>
      </w:r>
    </w:p>
    <w:p w14:paraId="11C7690F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2EFD1C85" w14:textId="337D097F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4.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Tabletė, kurios veiklioji medžiaga yra bedakvilino fumaratas ir kurią sudaro vidinis ir išorinis granuliuoti sluoksniai, k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ur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vidinį granuliuotą sluoksnį sudaro netirpi pagalbinė medžiaga ir (arba) skiediklis – mikrokristalinė celiuliozė, o išorinį granuliuotą sluoksnį sudaro netirpi pagalbinė medžiaga ir (arba) skiediklis – mikrokristalinė celiuliozė.</w:t>
      </w:r>
    </w:p>
    <w:p w14:paraId="2F49F21F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3F3BECD0" w14:textId="2FC7429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5.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 pagal 4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kurios vidiniame granuliuotame sluoksnyje nėra tirpių pagalbinių medžiagų ir (arba) skiediklių.</w:t>
      </w:r>
    </w:p>
    <w:p w14:paraId="4D4A1B49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78F8C0E0" w14:textId="6B771075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6.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Tabletės kompozicija, k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ur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skirtingas jos dalis, konkrečiai, vidinę ir išorinę granuliuota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s frakcijas bei rišamąją dalį, sudaro toliau nurodytos sudedamosios dalys pagal bendrą kompozicijos masę:</w:t>
      </w:r>
    </w:p>
    <w:p w14:paraId="7A0C3EFE" w14:textId="43226FCE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Vidinė granuliuota frakcija</w:t>
      </w:r>
    </w:p>
    <w:p w14:paraId="42D98C96" w14:textId="10055283" w:rsidR="00560293" w:rsidRPr="005602DA" w:rsidRDefault="00E65686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5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50 proc. veikliosios medžiagos bedakvilino fumarato</w:t>
      </w:r>
    </w:p>
    <w:p w14:paraId="2EF32924" w14:textId="75373D69" w:rsidR="00560293" w:rsidRPr="005602DA" w:rsidRDefault="00E65686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10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50 proc. netirpios pagalbinės medžiagos ir (arba) skiediklio</w:t>
      </w:r>
    </w:p>
    <w:p w14:paraId="417E0AF7" w14:textId="094AF692" w:rsidR="00560293" w:rsidRPr="005602DA" w:rsidRDefault="00E65686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1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 proc. dezintegranto</w:t>
      </w:r>
    </w:p>
    <w:p w14:paraId="1B778B1C" w14:textId="44303A00" w:rsidR="00560293" w:rsidRPr="005602DA" w:rsidRDefault="00E65686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uo 0,1 iki 5 proc. glidanto</w:t>
      </w:r>
    </w:p>
    <w:p w14:paraId="542081CB" w14:textId="6800756D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Rišamoji medžiaga</w:t>
      </w:r>
    </w:p>
    <w:p w14:paraId="7E2033AA" w14:textId="404CCAF7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1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10 proc. rišamosios medžiagos arba polimero</w:t>
      </w:r>
    </w:p>
    <w:p w14:paraId="346B08AE" w14:textId="459D3FAB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uo 0,01 iki 5 proc. drėkinamosios arba paviršinio aktyvumo medžiagos</w:t>
      </w:r>
    </w:p>
    <w:p w14:paraId="0938C1DF" w14:textId="709969D6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t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irpiklis (tiek, kiek reikia), pvz., vanduo – jei reikia (t. y. tik tiek, kiek reikia, jei reikia)</w:t>
      </w:r>
    </w:p>
    <w:p w14:paraId="61724680" w14:textId="6C1CD769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Išorinė granuliuota frakcija</w:t>
      </w:r>
    </w:p>
    <w:p w14:paraId="78078911" w14:textId="2B56E786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10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50 proc. netirpios pagalbinės medžiagos ir (arba) skiediklio</w:t>
      </w:r>
    </w:p>
    <w:p w14:paraId="542258F2" w14:textId="60F84315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1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 proc. dezintegranto</w:t>
      </w:r>
    </w:p>
    <w:p w14:paraId="44BB1AD9" w14:textId="3D2E3D19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0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3 proc. glidanto</w:t>
      </w:r>
    </w:p>
    <w:p w14:paraId="5901D5FD" w14:textId="140A8456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Fonts w:ascii="Helvetica" w:hAnsi="Helvetica" w:cs="Times New Roman"/>
          <w:color w:val="000000"/>
          <w:sz w:val="20"/>
          <w:szCs w:val="24"/>
          <w:lang w:val="lt-LT"/>
        </w:rPr>
        <w:t>n</w:t>
      </w:r>
      <w:r w:rsidR="00560293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uo 0 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iki 5 proc. lubrikanto</w:t>
      </w:r>
    </w:p>
    <w:p w14:paraId="0424183F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</w:p>
    <w:p w14:paraId="367B3EFA" w14:textId="66DC7233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  <w:r w:rsidRPr="005602DA">
        <w:rPr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7.</w:t>
      </w:r>
      <w:r w:rsidR="002B1637" w:rsidRPr="005602DA">
        <w:rPr>
          <w:rFonts w:ascii="Helvetica" w:hAnsi="Helvetica" w:cs="Times New Roman"/>
          <w:color w:val="000000"/>
          <w:spacing w:val="2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 xml:space="preserve">Tabletės kompozicija pagal 6 </w:t>
      </w:r>
      <w:r w:rsidR="007C048C"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, kurios vidiniame granuliuotame sluoksnyje nėra tirpių pagalbinių medžiagų ir (arba) skiediklių; ir (arba), pasirinktinai, išorinėje granuliuotoje frakcijoje taip pat nėra tirpių pagalbinių medžiagų ir (arba) skiediklių.</w:t>
      </w:r>
    </w:p>
    <w:p w14:paraId="08255DA0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</w:p>
    <w:p w14:paraId="312BBE29" w14:textId="3B0FF4A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>8.</w:t>
      </w:r>
      <w:r w:rsidR="002B1637" w:rsidRPr="005602DA">
        <w:rPr>
          <w:rFonts w:ascii="Helvetica" w:hAnsi="Helvetica" w:cs="Times New Roman"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Tabletės kompozicija pagal 6 arba 7</w:t>
      </w:r>
      <w:r w:rsidR="007C048C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 punktą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, kurią sudaro toliau nurodytos vidinės granuliuotos frakcijos, rišamosios medžiagos ir išorinės granuliuotos frakcijos kompozicijos pagal bendrą kompozicijos masę:</w:t>
      </w:r>
    </w:p>
    <w:p w14:paraId="762AED5A" w14:textId="2AA63EF1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lastRenderedPageBreak/>
        <w:t>Vidinė granuliuota frakcija</w:t>
      </w:r>
    </w:p>
    <w:p w14:paraId="67E09A51" w14:textId="7293C981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24,18 proc. (arba maždaug 25 proc.) veikliosios medžiagos bedakvilino fumarato</w:t>
      </w:r>
    </w:p>
    <w:p w14:paraId="2E8D02BF" w14:textId="16E1E17A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29,82 proc. (arba maždaug 30 proc.) netirpios pagalbinės medžiagos ir (arba) skiediklio</w:t>
      </w:r>
    </w:p>
    <w:p w14:paraId="72AF33BF" w14:textId="403D9DF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 proc. (arba maždaug 3 proc.) dezintegranto</w:t>
      </w:r>
    </w:p>
    <w:p w14:paraId="466128D6" w14:textId="12D2E8E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2 proc. (arba maždaug 2 proc.) glidanto</w:t>
      </w:r>
    </w:p>
    <w:p w14:paraId="18687CBA" w14:textId="0E955B0E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Rišamoji medžiaga</w:t>
      </w:r>
    </w:p>
    <w:p w14:paraId="7B859D05" w14:textId="67AA629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 proc. (arba maždaug 3 proc.) rišamosios medžiagos arba polimero</w:t>
      </w:r>
    </w:p>
    <w:p w14:paraId="4FE5C486" w14:textId="3643F212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0,2 proc. (arba maždaug 0,2 proc.) drėkinamosios arba paviršinio aktyvumo medžiagos</w:t>
      </w:r>
    </w:p>
    <w:p w14:paraId="3CB11E53" w14:textId="3AA16FB3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t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irpiklis (tiek, kiek reikia), pvz., vanduo – jei reikia (t. y. tik tiek, kiek reikia, jei reikia)</w:t>
      </w:r>
    </w:p>
    <w:p w14:paraId="71E5213A" w14:textId="08A1B14B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Išorinė granuliuota frakcija</w:t>
      </w:r>
    </w:p>
    <w:p w14:paraId="7E38AE6B" w14:textId="67AA3AE1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pacing w:val="2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pacing w:val="2"/>
          <w:sz w:val="20"/>
          <w:szCs w:val="24"/>
          <w:lang w:val="lt-LT"/>
        </w:rPr>
        <w:t>32,3 proc. (arba maždaug 30 proc.) pagalbinės medžiagos ir (arba) skiediklio</w:t>
      </w:r>
    </w:p>
    <w:p w14:paraId="5F8844EB" w14:textId="5304512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 proc. (arba maždaug 3 proc.) dezintegranto</w:t>
      </w:r>
    </w:p>
    <w:p w14:paraId="09C8C391" w14:textId="6DC8FFA5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0,5 proc. (arba maždaug 0,5 proc.) glidanto </w:t>
      </w:r>
    </w:p>
    <w:p w14:paraId="76033D22" w14:textId="7147E27E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2 proc. (arba maždaug 2 proc.) lubrikanto</w:t>
      </w:r>
    </w:p>
    <w:p w14:paraId="498AE7F1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</w:p>
    <w:p w14:paraId="754D28AD" w14:textId="4483044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9.</w:t>
      </w:r>
      <w:r w:rsidR="002B1637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 xml:space="preserve">abletės kompozicija pagal 6 arba 7 </w:t>
      </w:r>
      <w:r w:rsidR="007C048C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, kurią sudaro toliau nurodytos vidinės granuliuotos frakcijos, rišamosios medžiagos ir išorinės granuliuotos frakcijos kompozicijos pagal bendrą kompozicijos masę:</w:t>
      </w:r>
    </w:p>
    <w:p w14:paraId="2C1E6145" w14:textId="5DB86AF9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Vidinė granuliuota frakcija</w:t>
      </w:r>
    </w:p>
    <w:p w14:paraId="2486679D" w14:textId="7EE9784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12,09 proc. veikliosios medžiagos bedakvilino fumarato</w:t>
      </w:r>
    </w:p>
    <w:p w14:paraId="5341B9D1" w14:textId="03D0DE3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41,41 proc. netirpios pagalbinės medžiagos ir (arba) skiediklio (silicifikuotos mikrokristalinės celiuliozės)</w:t>
      </w:r>
    </w:p>
    <w:p w14:paraId="1B826138" w14:textId="74914354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 proc. dezintegranto (krospovidono)</w:t>
      </w:r>
    </w:p>
    <w:p w14:paraId="73D85019" w14:textId="167A801B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2 proc. glidanto (koloidinio silicio dioksido)</w:t>
      </w:r>
    </w:p>
    <w:p w14:paraId="7D78DF09" w14:textId="77777777" w:rsidR="005602DA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Rišamoji medžiaga</w:t>
      </w:r>
    </w:p>
    <w:p w14:paraId="40A820B8" w14:textId="041A3BE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3,5 proc. rišamosios medžiagos arba polimero (hipromeliozės 5 cps)</w:t>
      </w:r>
    </w:p>
    <w:p w14:paraId="0CFC16CD" w14:textId="3DD3EBF1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pacing w:val="-4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pacing w:val="-4"/>
          <w:sz w:val="20"/>
          <w:szCs w:val="24"/>
          <w:lang w:val="lt-LT"/>
        </w:rPr>
        <w:t>0,2 proc. drėkinamosios arba paviršinio aktyvumo medžiagos (polisorbato 20)</w:t>
      </w:r>
    </w:p>
    <w:p w14:paraId="3E0375CA" w14:textId="629F52AB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t</w:t>
      </w:r>
      <w:r w:rsidR="00560293"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irpiklis (tiek, kiek reikia), pvz., vanduo – jei reikia (t. y. tik tiek, kiek reikia, jei reikia)</w:t>
      </w:r>
    </w:p>
    <w:p w14:paraId="25CA8C85" w14:textId="61BB8AA6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Išorinė granuliuota frakcija</w:t>
      </w:r>
    </w:p>
    <w:p w14:paraId="667D7E64" w14:textId="681AA86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32,3 proc. pagalbinės medžiagos ir (arba) skiediklio (silicifikuotos mikrokristalinės celiuliozės)</w:t>
      </w:r>
    </w:p>
    <w:p w14:paraId="7766A561" w14:textId="167380A3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3 proc. dezintegranto (krospovidono)</w:t>
      </w:r>
    </w:p>
    <w:p w14:paraId="37E37F63" w14:textId="3F61652F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0,5 proc. glidanto (koloidinio silicio dioksido)</w:t>
      </w:r>
    </w:p>
    <w:p w14:paraId="2D9ACA43" w14:textId="718CBDF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color w:val="000000"/>
          <w:sz w:val="20"/>
          <w:szCs w:val="24"/>
          <w:lang w:val="lt-LT"/>
        </w:rPr>
        <w:t>2 proc. lubrikanto (natrio stearilfumarato)</w:t>
      </w:r>
    </w:p>
    <w:p w14:paraId="6429E800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color w:val="000000"/>
          <w:sz w:val="20"/>
          <w:szCs w:val="24"/>
          <w:lang w:val="lt-LT"/>
        </w:rPr>
      </w:pPr>
    </w:p>
    <w:p w14:paraId="264E4941" w14:textId="210FADD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10.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Tabletės kompozicija pagal 8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kurią sudaro:</w:t>
      </w:r>
    </w:p>
    <w:p w14:paraId="245CFF15" w14:textId="065F6239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Vidinė granuliuota frakcija</w:t>
      </w:r>
    </w:p>
    <w:p w14:paraId="1EB29283" w14:textId="75E2518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24,18 mg bedakvilino fumarato</w:t>
      </w:r>
    </w:p>
    <w:p w14:paraId="43AB62D0" w14:textId="31ADDC1F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29,82 mg silicifikuotos mikrokristalinės celiuliozės</w:t>
      </w:r>
    </w:p>
    <w:p w14:paraId="20FA9A62" w14:textId="2254FE5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3 mg krospovidono</w:t>
      </w:r>
    </w:p>
    <w:p w14:paraId="49016CC1" w14:textId="0BD5C0E0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2 mg koloidinio silicio dioksido</w:t>
      </w:r>
    </w:p>
    <w:p w14:paraId="56B60912" w14:textId="0B59B732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3 mg hipromeliozės 5 cps</w:t>
      </w:r>
    </w:p>
    <w:p w14:paraId="2086D307" w14:textId="1DD83AEF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0,2 mg polisorbato 20</w:t>
      </w:r>
    </w:p>
    <w:p w14:paraId="6F5A8510" w14:textId="6B024331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šgrynintas vanduo (tiek, kiek reikia)</w:t>
      </w:r>
    </w:p>
    <w:p w14:paraId="7EAFA8A0" w14:textId="7E7372A4" w:rsidR="00560293" w:rsidRPr="005602DA" w:rsidRDefault="00C9194C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šorinė granuliuota frakcija</w:t>
      </w:r>
    </w:p>
    <w:p w14:paraId="33E4FF08" w14:textId="7EA7A975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32,3 mg silicifikuotos mikrokristalinės celiuliozės</w:t>
      </w:r>
    </w:p>
    <w:p w14:paraId="7318A7F3" w14:textId="641E6F7B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lastRenderedPageBreak/>
        <w:t>3 mg krospovidono</w:t>
      </w:r>
    </w:p>
    <w:p w14:paraId="13F01183" w14:textId="527B6D5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0,5 mg koloidinio silicio dioksido</w:t>
      </w:r>
    </w:p>
    <w:p w14:paraId="7BDC885B" w14:textId="5B2C6DC1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2 mg natrio stearilfumarato</w:t>
      </w:r>
    </w:p>
    <w:p w14:paraId="0431874C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56680CFC" w14:textId="57E3D9EE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11.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Tabletės kompozicija pagal 9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punktą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kurią sudaro:</w:t>
      </w:r>
    </w:p>
    <w:p w14:paraId="70C6F82F" w14:textId="1DD08F10" w:rsidR="00560293" w:rsidRPr="005602DA" w:rsidRDefault="00C9194C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V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idinė granuliuota frakcija</w:t>
      </w:r>
    </w:p>
    <w:p w14:paraId="1C2C1EB5" w14:textId="599A50F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24,18 mg bedakvilino fumarato</w:t>
      </w:r>
    </w:p>
    <w:p w14:paraId="63A2D480" w14:textId="28AB95B0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82,82 mg silicifikuotos mikrokristalinės celiuliozės</w:t>
      </w:r>
    </w:p>
    <w:p w14:paraId="78BF2F07" w14:textId="00326725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6 mg krospovidono</w:t>
      </w:r>
    </w:p>
    <w:p w14:paraId="597C1B66" w14:textId="42382D6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4 mg koloidinio silicio dioksido</w:t>
      </w:r>
    </w:p>
    <w:p w14:paraId="0933FBA3" w14:textId="1DC24E0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7 mg hipromeliozės 5 cps</w:t>
      </w:r>
    </w:p>
    <w:p w14:paraId="2A495F0D" w14:textId="6B3CFCF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0,4 mg polisorbato 20</w:t>
      </w:r>
    </w:p>
    <w:p w14:paraId="5BD05076" w14:textId="06B16714" w:rsidR="00560293" w:rsidRPr="005602DA" w:rsidRDefault="00C9194C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šorinė granuliuota frakcija</w:t>
      </w:r>
    </w:p>
    <w:p w14:paraId="61AB976E" w14:textId="66FEAAAB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64,6 mg silicifikuotos mikrokristalinės celiuliozės</w:t>
      </w:r>
    </w:p>
    <w:p w14:paraId="0EDD4BA1" w14:textId="464BDA33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6 mg krospovidono</w:t>
      </w:r>
    </w:p>
    <w:p w14:paraId="5AAB0BD8" w14:textId="73DED2DA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 mg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koloidinio silicio dioksido</w:t>
      </w:r>
    </w:p>
    <w:p w14:paraId="6EF24BB0" w14:textId="09D2B7B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4 mg natrio stearilfumarato</w:t>
      </w:r>
    </w:p>
    <w:p w14:paraId="1D2F9BFE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604E8031" w14:textId="12F98792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12.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Tabletės kompozicija, k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ur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skirtingas jos dalis, konkrečiai, vidinę ir išorinę granuliuotas frakcijas bei rišamąją dalį, sudaro toliau nurodytos sudedamosios dalys pagal bendrą kompozicijos masę:</w:t>
      </w:r>
    </w:p>
    <w:p w14:paraId="3E98CF50" w14:textId="00F240C5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Vidinė granuliuota frakcija</w:t>
      </w:r>
    </w:p>
    <w:p w14:paraId="0925E759" w14:textId="0222EAB0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20 iki 40 proc. netirpios pagalbinės medžiagos ir (arba) skiediklio –</w:t>
      </w:r>
      <w:r w:rsidR="005602DA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mikrokristalinės celiuliozės</w:t>
      </w:r>
    </w:p>
    <w:p w14:paraId="0E28E41A" w14:textId="4E917D96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2 iki 4 proc. dezintegranto – krospovidono</w:t>
      </w:r>
    </w:p>
    <w:p w14:paraId="51C377B6" w14:textId="153291CA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0,5 iki 4 proc. glidanto – koloidinio silicio dioksido</w:t>
      </w:r>
    </w:p>
    <w:p w14:paraId="52D458C8" w14:textId="019EC13E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Rišamoji medžiaga</w:t>
      </w:r>
    </w:p>
    <w:p w14:paraId="375EDE6D" w14:textId="06ECD179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pacing w:val="-4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pacing w:val="-4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pacing w:val="-4"/>
          <w:sz w:val="20"/>
          <w:szCs w:val="24"/>
          <w:lang w:val="lt-LT"/>
        </w:rPr>
        <w:t>uo 2 iki 5 proc. rišamosios medžiagos arba polimero – hipromeliozės 5 cps</w:t>
      </w:r>
    </w:p>
    <w:p w14:paraId="4D87D968" w14:textId="3D2EF961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0,1 iki 1 proc. drėkinamosios arba paviršinio aktyvumo medžiagos – polisorbato 20</w:t>
      </w:r>
    </w:p>
    <w:p w14:paraId="6FAC5481" w14:textId="00352DEE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irpiklis (tiek, kiek reikia), pvz., vanduo – jei reikia (t. y. tik tiek, kiek reikia, jei reikia)</w:t>
      </w:r>
    </w:p>
    <w:p w14:paraId="4132BE04" w14:textId="74F1AC9B" w:rsidR="00560293" w:rsidRPr="00C9194C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C9194C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Išorinė granuliuota frakcija</w:t>
      </w:r>
    </w:p>
    <w:p w14:paraId="52B081AF" w14:textId="26E07A01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20 iki 40 proc. pagalbinės medžiagos ir (arba) skiediklio – mikrokristalinės celiuliozės</w:t>
      </w:r>
    </w:p>
    <w:p w14:paraId="586BF56F" w14:textId="1EE01F80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2 iki 4 proc. dezintegranto – krospovidono</w:t>
      </w:r>
    </w:p>
    <w:p w14:paraId="40B37B84" w14:textId="0ADC9065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0 iki 1 proc. glidanto – koloidinio silicio dioksido</w:t>
      </w:r>
    </w:p>
    <w:p w14:paraId="409648C6" w14:textId="657F19A0" w:rsidR="00560293" w:rsidRPr="005602DA" w:rsidRDefault="00E649BD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n</w:t>
      </w:r>
      <w:r w:rsidR="00560293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uo 1 iki 3 proc. lubrikanto – natrio stearilfumarato</w:t>
      </w:r>
    </w:p>
    <w:p w14:paraId="3A5C216C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215D5237" w14:textId="77777777" w:rsidR="005A5166" w:rsidRDefault="00560293" w:rsidP="00E649BD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13.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 arba tabletės kompozicija pagal bet kur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į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ankstesnių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skirta tuberkuliozei gydyti.</w:t>
      </w:r>
    </w:p>
    <w:p w14:paraId="58207D32" w14:textId="77777777" w:rsidR="005A5166" w:rsidRDefault="005A5166" w:rsidP="00E649BD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2C8698F6" w14:textId="1427DB9B" w:rsidR="00560293" w:rsidRPr="005602DA" w:rsidRDefault="00560293" w:rsidP="00E649BD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14.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 arba tabletės kompozicija, skirta vartoti vaikams ir (arba) geriatrinei populiacijai, kaip nurodyta 13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punkte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.</w:t>
      </w:r>
    </w:p>
    <w:p w14:paraId="3993995A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42A6E1DE" w14:textId="0DF4CF16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15.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 arba tabletės kompozicija pagal bet kur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į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ankstesnių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skirta tuberkuliozei gydyti kartu su viena ar daugiau kitų tuberkuliozei gydyti naudingų terapinių medžiagų.</w:t>
      </w:r>
    </w:p>
    <w:p w14:paraId="2E3250C2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1733ECF3" w14:textId="3E70AB6C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16.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Tuberkuliozei gydyti skirtas derinys, kurį sudaro tabletė arba tabletės kompozicija pagal bet kur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į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1–14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ir viena ar daugiau kitų tuberkuliozei gydyti naudingų terapinių medžiagų.</w:t>
      </w:r>
    </w:p>
    <w:p w14:paraId="4840B6E6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3E15DDF3" w14:textId="22F2123B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17.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Tabletės kompozicijos paruošimo procesas pagal bet kur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į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1–12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, kurį sudaro:</w:t>
      </w:r>
    </w:p>
    <w:p w14:paraId="67F08B8A" w14:textId="665AA80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a)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vidinės granuliuotos frakcijos gavimas naudojant bet kuri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ame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6–12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paminėtus vidinės granuliuotos frakcijos komponentus;</w:t>
      </w:r>
    </w:p>
    <w:p w14:paraId="12262C4A" w14:textId="7ED1FD08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b)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rišamosios frakcijos paruošimas naudojant bet kuri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ame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6–12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paminėtus rišamosios frakcijos komponentus;</w:t>
      </w:r>
    </w:p>
    <w:p w14:paraId="5D7DCFB9" w14:textId="39E82099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c)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išorinės granuliuotos frakcijos gavimas naudojant bet kuri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ame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iš 6–12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punktų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paminėtus išorinės granuliuotos frakcijos komponentus;</w:t>
      </w:r>
    </w:p>
    <w:p w14:paraId="3E96D8EE" w14:textId="77777777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ir šių frakcijų naudojimas kompozicijai paruošti.</w:t>
      </w:r>
    </w:p>
    <w:p w14:paraId="4AA21CD5" w14:textId="77777777" w:rsidR="005602DA" w:rsidRPr="005602DA" w:rsidRDefault="005602DA" w:rsidP="005602DA">
      <w:pPr>
        <w:pStyle w:val="a0"/>
        <w:widowControl/>
        <w:tabs>
          <w:tab w:val="left" w:pos="851"/>
        </w:tabs>
        <w:spacing w:line="360" w:lineRule="auto"/>
        <w:jc w:val="both"/>
        <w:rPr>
          <w:rFonts w:ascii="Helvetica" w:hAnsi="Helvetica" w:cs="Times New Roman"/>
          <w:bCs/>
          <w:color w:val="000000"/>
          <w:sz w:val="20"/>
          <w:szCs w:val="24"/>
          <w:lang w:val="lt-LT"/>
        </w:rPr>
      </w:pPr>
    </w:p>
    <w:p w14:paraId="3C0CEB71" w14:textId="62389124" w:rsidR="00560293" w:rsidRPr="005602DA" w:rsidRDefault="00560293" w:rsidP="005602DA">
      <w:pPr>
        <w:pStyle w:val="a0"/>
        <w:widowControl/>
        <w:tabs>
          <w:tab w:val="left" w:pos="851"/>
        </w:tabs>
        <w:spacing w:line="360" w:lineRule="auto"/>
        <w:ind w:firstLine="567"/>
        <w:jc w:val="both"/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</w:pPr>
      <w:r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>18.</w:t>
      </w:r>
      <w:r w:rsidR="002B1637" w:rsidRPr="005602DA">
        <w:rPr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Tabletės kompozicija, gaunama 17 </w:t>
      </w:r>
      <w:r w:rsidR="007C048C"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>punkte</w:t>
      </w:r>
      <w:r w:rsidRPr="005602DA">
        <w:rPr>
          <w:rStyle w:val="a"/>
          <w:rFonts w:ascii="Helvetica" w:hAnsi="Helvetica" w:cs="Times New Roman"/>
          <w:bCs/>
          <w:color w:val="000000"/>
          <w:sz w:val="20"/>
          <w:szCs w:val="24"/>
          <w:lang w:val="lt-LT"/>
        </w:rPr>
        <w:t xml:space="preserve"> aprašytu būdu.</w:t>
      </w:r>
    </w:p>
    <w:sectPr w:rsidR="00560293" w:rsidRPr="005602DA" w:rsidSect="005602DA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561F" w14:textId="77777777" w:rsidR="00B7495D" w:rsidRDefault="00B7495D" w:rsidP="00560293">
      <w:pPr>
        <w:spacing w:line="240" w:lineRule="auto"/>
      </w:pPr>
      <w:r>
        <w:separator/>
      </w:r>
    </w:p>
  </w:endnote>
  <w:endnote w:type="continuationSeparator" w:id="0">
    <w:p w14:paraId="3FB25BFB" w14:textId="77777777" w:rsidR="00B7495D" w:rsidRDefault="00B7495D" w:rsidP="00560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7F96" w14:textId="77777777" w:rsidR="00B7495D" w:rsidRDefault="00B7495D" w:rsidP="00560293">
      <w:pPr>
        <w:spacing w:line="240" w:lineRule="auto"/>
      </w:pPr>
      <w:r>
        <w:separator/>
      </w:r>
    </w:p>
  </w:footnote>
  <w:footnote w:type="continuationSeparator" w:id="0">
    <w:p w14:paraId="20758826" w14:textId="77777777" w:rsidR="00B7495D" w:rsidRDefault="00B7495D" w:rsidP="005602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31"/>
    <w:rsid w:val="00190231"/>
    <w:rsid w:val="002B1637"/>
    <w:rsid w:val="005131C3"/>
    <w:rsid w:val="00560293"/>
    <w:rsid w:val="005602DA"/>
    <w:rsid w:val="005A2697"/>
    <w:rsid w:val="005A5166"/>
    <w:rsid w:val="00611F7A"/>
    <w:rsid w:val="007C048C"/>
    <w:rsid w:val="00AA21B3"/>
    <w:rsid w:val="00B7495D"/>
    <w:rsid w:val="00C9194C"/>
    <w:rsid w:val="00E649BD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ED37B"/>
  <w15:chartTrackingRefBased/>
  <w15:docId w15:val="{852505BB-2D50-4794-AD9D-7EFD91ED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0293"/>
    <w:pPr>
      <w:spacing w:after="0" w:line="320" w:lineRule="atLeast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">
    <w:name w:val="本文_"/>
    <w:basedOn w:val="Numatytasispastraiposriftas"/>
    <w:link w:val="a0"/>
    <w:rsid w:val="00560293"/>
    <w:rPr>
      <w:rFonts w:ascii="Arial" w:eastAsia="Arial" w:hAnsi="Arial" w:cs="Arial"/>
      <w:sz w:val="17"/>
      <w:szCs w:val="17"/>
    </w:rPr>
  </w:style>
  <w:style w:type="paragraph" w:customStyle="1" w:styleId="a0">
    <w:name w:val="本文"/>
    <w:basedOn w:val="prastasis"/>
    <w:link w:val="a"/>
    <w:rsid w:val="00560293"/>
    <w:pPr>
      <w:widowControl w:val="0"/>
      <w:spacing w:line="290" w:lineRule="auto"/>
    </w:pPr>
    <w:rPr>
      <w:rFonts w:ascii="Arial" w:eastAsia="Arial" w:hAnsi="Arial" w:cs="Arial"/>
      <w:kern w:val="2"/>
      <w:sz w:val="17"/>
      <w:szCs w:val="17"/>
      <w:lang w:val="en-GB"/>
      <w14:ligatures w14:val="standardContextual"/>
    </w:rPr>
  </w:style>
  <w:style w:type="paragraph" w:styleId="Antrats">
    <w:name w:val="header"/>
    <w:basedOn w:val="prastasis"/>
    <w:link w:val="AntratsDiagrama"/>
    <w:uiPriority w:val="99"/>
    <w:unhideWhenUsed/>
    <w:rsid w:val="00560293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293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60293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293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10</cp:revision>
  <dcterms:created xsi:type="dcterms:W3CDTF">2023-06-14T15:54:00Z</dcterms:created>
  <dcterms:modified xsi:type="dcterms:W3CDTF">2023-07-03T10:20:00Z</dcterms:modified>
</cp:coreProperties>
</file>