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02135" w14:textId="59910787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1. Farmacinė kompozicija monometilfumarato (MMF) provaisto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, skirta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įvedimui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vieną ar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ba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du kartus per dieną, kur minėtas MMF provaistas yra 2-(2,5-dioksopirolidin-1-il) etilmetilfumaratas arba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DA3AFE">
        <w:rPr>
          <w:rFonts w:ascii="Helvetica" w:hAnsi="Helvetica" w:cs="Helvetica"/>
          <w:sz w:val="20"/>
          <w:szCs w:val="24"/>
          <w:lang w:val="lt-LT"/>
        </w:rPr>
        <w:t>, minėta kompozicija apima 2-(2,5-dioksopirolidin-1-il) etilmetilfumarat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arba farmaciniu požiūriu priimtin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>drusk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kontroliuojamo atpalaidavimo polimer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, kur kontroliuojamo atpalaidavimo polimeras yra dangos pavidalo,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pritaikyto uždengti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šerd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į</w:t>
      </w:r>
      <w:r w:rsidRPr="00DA3AFE">
        <w:rPr>
          <w:rFonts w:ascii="Helvetica" w:hAnsi="Helvetica" w:cs="Helvetica"/>
          <w:sz w:val="20"/>
          <w:szCs w:val="24"/>
          <w:lang w:val="lt-LT"/>
        </w:rPr>
        <w:t>, kur</w:t>
      </w:r>
      <w:r w:rsidR="00DA16A4" w:rsidRPr="00DA3AFE">
        <w:rPr>
          <w:rFonts w:ascii="Helvetica" w:hAnsi="Helvetica" w:cs="Helvetica"/>
          <w:sz w:val="20"/>
          <w:szCs w:val="24"/>
          <w:lang w:val="lt-LT"/>
        </w:rPr>
        <w:t>ioje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yra 2-(2,5-dioksopirolidin-1-il) etilmetilfumaratas arba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4F0F0616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5E7541E" w14:textId="7D9BEE1D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2. Farmacinė kompozicija pagal 1 punktą, kur šerdis yra tabletė arba granulė, apimanti 2-(2,5-dioksopirolidin-1-il) etilmetilfumaratą arba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farmaciniu požiūriu priimtiną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druską,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pageidautina</w:t>
      </w:r>
      <w:r w:rsidRPr="00DA3AFE">
        <w:rPr>
          <w:rFonts w:ascii="Helvetica" w:hAnsi="Helvetica" w:cs="Helvetica"/>
          <w:sz w:val="20"/>
          <w:szCs w:val="24"/>
          <w:lang w:val="lt-LT"/>
        </w:rPr>
        <w:t>, kur farmacinė kompozicija apima tablečių arba granul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ių visumą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3391092E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200926" w14:textId="496E6468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3. Farmacinė kompozicija pagal 1 arba 2 punktą, kur danga yra enterinė danga.</w:t>
      </w:r>
    </w:p>
    <w:p w14:paraId="1865BAB9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5A8F30" w14:textId="2B0EC57F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4. Farmacinė kompozicija pagal 3 punktą, kur </w:t>
      </w:r>
    </w:p>
    <w:p w14:paraId="52D278C0" w14:textId="459C9BD0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a) 2-(2,5-dioksopirolidin-1-il) etilmetilfumaratas arba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iš esmės yra atpalaiduojami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iš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t>kart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o,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pašalinus enterinę dangą; arba</w:t>
      </w:r>
    </w:p>
    <w:p w14:paraId="6F6F393C" w14:textId="082C8B46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b) iš esmės visas 2-(2,5-dioksopirolidin-1-il) etilmetilfumaratas arba farmaciniu požiūriu priimtina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druska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yra atpalaiduojami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iš kompozicijos per maždaug 2 valandas, esant pH 6,8,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kaip išmatuota,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naudojant USP </w:t>
      </w:r>
      <w:r w:rsidR="008B0A5D" w:rsidRPr="00DA3AFE">
        <w:rPr>
          <w:rFonts w:ascii="Helvetica" w:hAnsi="Helvetica" w:cs="Helvetica"/>
          <w:sz w:val="20"/>
          <w:szCs w:val="24"/>
          <w:lang w:val="lt-LT"/>
        </w:rPr>
        <w:t>prietaisą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 </w:t>
      </w:r>
      <w:r w:rsidR="005907C8" w:rsidRPr="00DA3AFE">
        <w:rPr>
          <w:rFonts w:ascii="Helvetica" w:hAnsi="Helvetica" w:cs="Helvetica"/>
          <w:sz w:val="20"/>
          <w:szCs w:val="24"/>
          <w:lang w:val="lt-LT"/>
        </w:rPr>
        <w:t xml:space="preserve">su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40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tankio</w:t>
      </w:r>
      <w:r w:rsidR="000920AB" w:rsidRPr="00DA3AFE">
        <w:rPr>
          <w:rFonts w:ascii="Helvetica" w:hAnsi="Helvetica" w:cs="Helvetica"/>
          <w:sz w:val="20"/>
          <w:szCs w:val="24"/>
          <w:lang w:val="lt-LT"/>
        </w:rPr>
        <w:t xml:space="preserve"> tinkl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>iniu</w:t>
      </w:r>
      <w:r w:rsidR="005907C8"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t>krepšel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>iu</w:t>
      </w:r>
      <w:r w:rsidR="005907C8" w:rsidRPr="00DA3AFE">
        <w:rPr>
          <w:rFonts w:ascii="Helvetica" w:hAnsi="Helvetica" w:cs="Helvetica"/>
          <w:sz w:val="20"/>
          <w:szCs w:val="24"/>
          <w:lang w:val="lt-LT"/>
        </w:rPr>
        <w:t>, esant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sukimosi greičiu nuo 100 iki 150 aps</w:t>
      </w:r>
      <w:r w:rsidR="000920AB" w:rsidRPr="00DA3AFE">
        <w:rPr>
          <w:rFonts w:ascii="Helvetica" w:hAnsi="Helvetica" w:cs="Helvetica"/>
          <w:sz w:val="20"/>
          <w:szCs w:val="24"/>
          <w:lang w:val="lt-LT"/>
        </w:rPr>
        <w:t>.</w:t>
      </w:r>
      <w:r w:rsidRPr="00DA3AFE">
        <w:rPr>
          <w:rFonts w:ascii="Helvetica" w:hAnsi="Helvetica" w:cs="Helvetica"/>
          <w:sz w:val="20"/>
          <w:szCs w:val="24"/>
          <w:lang w:val="lt-LT"/>
        </w:rPr>
        <w:t>/ min</w:t>
      </w:r>
      <w:r w:rsidR="000920AB" w:rsidRPr="00DA3AFE">
        <w:rPr>
          <w:rFonts w:ascii="Helvetica" w:hAnsi="Helvetica" w:cs="Helvetica"/>
          <w:sz w:val="20"/>
          <w:szCs w:val="24"/>
          <w:lang w:val="lt-LT"/>
        </w:rPr>
        <w:t>.</w:t>
      </w:r>
      <w:r w:rsidRPr="00DA3AFE">
        <w:rPr>
          <w:rFonts w:ascii="Helvetica" w:hAnsi="Helvetica" w:cs="Helvetica"/>
          <w:sz w:val="20"/>
          <w:szCs w:val="24"/>
          <w:lang w:val="lt-LT"/>
        </w:rPr>
        <w:t>; pageidautina, kad 100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% 2-(2,5-dioksopirolidin-1-il) etilmetilfumarato arba farmaciniu požiūriu priimtinos 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druskos 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>atpalaiduojami iš kompozicijos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per maždaug 2 valandas, esant pH 6,8, 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kaip išmatuota, naudojant USP prietaisą I su 40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tankio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 tinkliniu krepšeliu, esant sukimosi greičiu nuo 100 iki 150 aps./ min.</w:t>
      </w:r>
    </w:p>
    <w:p w14:paraId="131E7F67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4CB2E03" w14:textId="4FA86BAE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5. Farmacinė kompozicija pagal bet kurį ankstesnį punktą, kur 2-(2,5-dioksopirolidin-1-il) etilmetilfumaratas arba farmaciniu požiūriu priimtina 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>druska yra disperguota visoje nešiklio matricoje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DA3AFE">
        <w:rPr>
          <w:rFonts w:ascii="Helvetica" w:hAnsi="Helvetica" w:cs="Helvetica"/>
          <w:sz w:val="20"/>
          <w:szCs w:val="24"/>
          <w:lang w:val="lt-LT"/>
        </w:rPr>
        <w:t>, kad susidarytų granulių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 xml:space="preserve"> visuma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>pageidautina, kur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granulės yra pagamint</w:t>
      </w:r>
      <w:r w:rsidR="005C2F89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s 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lydalo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ekstruzij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os metodu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vėliau padengt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>s kontroliuojamo atpalaidavimo polimeru.</w:t>
      </w:r>
    </w:p>
    <w:p w14:paraId="0818F883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15A964" w14:textId="7C34414F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6. Farmacinė kompozicija pagal bet kurį ankstesnį punktą, kur šerdis dar 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apima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skiediklį ir dezintegr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uojančią medžiagą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117A6593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90EB3DD" w14:textId="545C3263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7. Farmacinė kompozicija, susidedanti iš esmės iš šerdies, apimančios 2-(2,5-dioksopirolidin-1-il) etilmetilfumaratą arba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farmaciniu požiūriu priimtiną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DA3AFE">
        <w:rPr>
          <w:rFonts w:ascii="Helvetica" w:hAnsi="Helvetica" w:cs="Helvetica"/>
          <w:sz w:val="20"/>
          <w:szCs w:val="24"/>
          <w:lang w:val="lt-LT"/>
        </w:rPr>
        <w:t>druską, skiedikl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io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dezintegruojančios medžiagos</w:t>
      </w:r>
      <w:r w:rsidRPr="00DA3AFE">
        <w:rPr>
          <w:rFonts w:ascii="Helvetica" w:hAnsi="Helvetica" w:cs="Helvetica"/>
          <w:sz w:val="20"/>
          <w:szCs w:val="24"/>
          <w:lang w:val="lt-LT"/>
        </w:rPr>
        <w:t>; ir dang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os</w:t>
      </w:r>
      <w:r w:rsidRPr="00DA3AFE">
        <w:rPr>
          <w:rFonts w:ascii="Helvetica" w:hAnsi="Helvetica" w:cs="Helvetica"/>
          <w:sz w:val="20"/>
          <w:szCs w:val="24"/>
          <w:lang w:val="lt-LT"/>
        </w:rPr>
        <w:t>, apiman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čios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kontroliuojamo atpalaidavimo polimerą.</w:t>
      </w:r>
    </w:p>
    <w:p w14:paraId="38F20B66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7BAB049" w14:textId="38BFC9AE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8. Farmacinė kompozicija pagal bet kurį ankstesnį punktą, kur danga dar 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apima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plastifikatorių ir vieną ar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ba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daugiau </w:t>
      </w:r>
      <w:r w:rsidR="00C36CCF" w:rsidRPr="00DA3AFE">
        <w:rPr>
          <w:rFonts w:ascii="Helvetica" w:hAnsi="Helvetica" w:cs="Helvetica"/>
          <w:sz w:val="20"/>
          <w:szCs w:val="24"/>
          <w:lang w:val="lt-LT"/>
        </w:rPr>
        <w:t>agent</w:t>
      </w:r>
      <w:r w:rsidRPr="00DA3AFE">
        <w:rPr>
          <w:rFonts w:ascii="Helvetica" w:hAnsi="Helvetica" w:cs="Helvetica"/>
          <w:sz w:val="20"/>
          <w:szCs w:val="24"/>
          <w:lang w:val="lt-LT"/>
        </w:rPr>
        <w:t>ų</w:t>
      </w:r>
      <w:r w:rsidR="003566D6" w:rsidRPr="00DA3AFE">
        <w:rPr>
          <w:rFonts w:ascii="Helvetica" w:hAnsi="Helvetica" w:cs="Helvetica"/>
          <w:sz w:val="20"/>
          <w:szCs w:val="24"/>
          <w:lang w:val="lt-LT"/>
        </w:rPr>
        <w:t>, apsaugančių nuo lipnumo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73C4F15B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1CF4555" w14:textId="5C00FB41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9. Farmacinė kompozicija pagal 6 arba 7 punktą, kur skiediklis yra parinktas iš grupės, susidedančios iš mikrokristalinės celiuliozės, dekstrozės, laktozės, sacharozės, manitolio, dikalcio fosfato ir jų derinių; kur </w:t>
      </w:r>
      <w:r w:rsidR="00E24060" w:rsidRPr="00DA3AFE">
        <w:rPr>
          <w:rFonts w:ascii="Helvetica" w:hAnsi="Helvetica" w:cs="Helvetica"/>
          <w:sz w:val="20"/>
          <w:szCs w:val="24"/>
          <w:lang w:val="lt-LT"/>
        </w:rPr>
        <w:t>dezintegruojanti medžiaga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yra parinkta iš grupės, susidedančios iš natrio karboksimetilceliuliozės, krakmolo, 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skersiniais ryšiais susiūto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polivinilpirolidono (krospovidono) ir jų derinių; kur kontroliuojamo atpalaidavimo polimeras yra enterinis polimeras; ir kur dang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dar 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apima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(a) plastifikatori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ų</w:t>
      </w:r>
      <w:r w:rsidRPr="00DA3AFE">
        <w:rPr>
          <w:rFonts w:ascii="Helvetica" w:hAnsi="Helvetica" w:cs="Helvetica"/>
          <w:sz w:val="20"/>
          <w:szCs w:val="24"/>
          <w:lang w:val="lt-LT"/>
        </w:rPr>
        <w:t>, parinkt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iš grupės, susidedančios iš triacetino, tributilo citrato, trietilo citrato, dibutilo seba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k</w:t>
      </w:r>
      <w:r w:rsidRPr="00DA3AFE">
        <w:rPr>
          <w:rFonts w:ascii="Helvetica" w:hAnsi="Helvetica" w:cs="Helvetica"/>
          <w:sz w:val="20"/>
          <w:szCs w:val="24"/>
          <w:lang w:val="lt-LT"/>
        </w:rPr>
        <w:t>ato, dietil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DA3AFE">
        <w:rPr>
          <w:rFonts w:ascii="Helvetica" w:hAnsi="Helvetica" w:cs="Helvetica"/>
          <w:sz w:val="20"/>
          <w:szCs w:val="24"/>
          <w:lang w:val="lt-LT"/>
        </w:rPr>
        <w:t>ftalato ir jų derinių, ir (b) vieną ar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ba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lastRenderedPageBreak/>
        <w:t xml:space="preserve">daugiau 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agent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ų, apsaugančių nuo lipnumo</w:t>
      </w:r>
      <w:r w:rsidRPr="00DA3AFE">
        <w:rPr>
          <w:rFonts w:ascii="Helvetica" w:hAnsi="Helvetica" w:cs="Helvetica"/>
          <w:sz w:val="20"/>
          <w:szCs w:val="24"/>
          <w:lang w:val="lt-LT"/>
        </w:rPr>
        <w:t>, parinktų iš grupės, susidedančios iš koloidinis silicio dioksid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>, talk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jų derini</w:t>
      </w:r>
      <w:r w:rsidR="00AD4C0F" w:rsidRPr="00DA3AFE">
        <w:rPr>
          <w:rFonts w:ascii="Helvetica" w:hAnsi="Helvetica" w:cs="Helvetica"/>
          <w:sz w:val="20"/>
          <w:szCs w:val="24"/>
          <w:lang w:val="lt-LT"/>
        </w:rPr>
        <w:t>ų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5FCE3BDC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DD925A" w14:textId="338D921E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10. Farmacinė kompozicija pagal 6 arba 7 punktą, kur skiediklis yra mikrokristalinė celiuliozė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,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danga apima kontroliuojamo atpalaidavimo polimerą C tipo metakrilo rūgšties kopolimerą;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pageidautina</w:t>
      </w:r>
      <w:r w:rsidRPr="00DA3AFE">
        <w:rPr>
          <w:rFonts w:ascii="Helvetica" w:hAnsi="Helvetica" w:cs="Helvetica"/>
          <w:sz w:val="20"/>
          <w:szCs w:val="24"/>
          <w:lang w:val="lt-LT"/>
        </w:rPr>
        <w:t>, k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ur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šerdis dar apima krospovidoną arba magnio stearatą.</w:t>
      </w:r>
    </w:p>
    <w:p w14:paraId="335B5E23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E43F00" w14:textId="6A420F6D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11. Farmacinė kompozicija pagal bet kurį ankstesnį punktą, kur farmacinė kompozicija apima tablečių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 visumą,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ir kontroliuojamo atpalaidavimo polimer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u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padeng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t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os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table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tės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iki toki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u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 lygi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u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, kad būtų nuo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maždaug 2 iki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Pr="00DA3AFE">
        <w:rPr>
          <w:rFonts w:ascii="Helvetica" w:hAnsi="Helvetica" w:cs="Helvetica"/>
          <w:sz w:val="20"/>
          <w:szCs w:val="24"/>
          <w:lang w:val="lt-LT"/>
        </w:rPr>
        <w:t>30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t>% svorio padidėjim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as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arba nuo maždaug 0,95 iki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Pr="00DA3AFE">
        <w:rPr>
          <w:rFonts w:ascii="Helvetica" w:hAnsi="Helvetica" w:cs="Helvetica"/>
          <w:sz w:val="20"/>
          <w:szCs w:val="24"/>
          <w:lang w:val="lt-LT"/>
        </w:rPr>
        <w:t>14,75 mg/ cm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>²</w:t>
      </w:r>
      <w:r w:rsidRPr="00DA3AFE">
        <w:rPr>
          <w:rFonts w:ascii="Helvetica" w:hAnsi="Helvetica" w:cs="Helvetica"/>
          <w:sz w:val="20"/>
          <w:szCs w:val="24"/>
          <w:lang w:val="lt-LT"/>
        </w:rPr>
        <w:t>; arba apima tablečių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 visumą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, kur dangos storis yra nuo maždaug 40 iki </w:t>
      </w:r>
      <w:r w:rsidR="001C5C8D" w:rsidRPr="00DA3AFE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Pr="00DA3AFE">
        <w:rPr>
          <w:rFonts w:ascii="Helvetica" w:hAnsi="Helvetica" w:cs="Helvetica"/>
          <w:sz w:val="20"/>
          <w:szCs w:val="24"/>
          <w:lang w:val="lt-LT"/>
        </w:rPr>
        <w:t>60 mikronų.</w:t>
      </w:r>
    </w:p>
    <w:p w14:paraId="20D0510E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2E8A772" w14:textId="25DA82CB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12. Farmacinė kompozicija pagal bet kurį ankstesnį punktą, kur kompoziciją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yra sudaryta iš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70-80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% 2-(2,5-dioksopirolidin-1-il) etilmetilfumarato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 xml:space="preserve">pagal </w:t>
      </w:r>
      <w:r w:rsidRPr="00DA3AFE">
        <w:rPr>
          <w:rFonts w:ascii="Helvetica" w:hAnsi="Helvetica" w:cs="Helvetica"/>
          <w:sz w:val="20"/>
          <w:szCs w:val="24"/>
          <w:lang w:val="lt-LT"/>
        </w:rPr>
        <w:t>mas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ę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4E0063C2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0BD7B4" w14:textId="1D68C145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13. Farmacinė kompozicija pagal bet kurį ankstesnį punktą, ku</w:t>
      </w:r>
      <w:r w:rsidR="00CB478E" w:rsidRPr="00DA3AFE">
        <w:rPr>
          <w:rFonts w:ascii="Helvetica" w:hAnsi="Helvetica" w:cs="Helvetica"/>
          <w:sz w:val="20"/>
          <w:szCs w:val="24"/>
          <w:lang w:val="lt-LT"/>
        </w:rPr>
        <w:t>r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šerd</w:t>
      </w:r>
      <w:r w:rsidR="00CB478E" w:rsidRPr="00DA3AFE">
        <w:rPr>
          <w:rFonts w:ascii="Helvetica" w:hAnsi="Helvetica" w:cs="Helvetica"/>
          <w:sz w:val="20"/>
          <w:szCs w:val="24"/>
          <w:lang w:val="lt-LT"/>
        </w:rPr>
        <w:t>is susideda iš</w:t>
      </w:r>
      <w:r w:rsidRPr="00DA3AFE">
        <w:rPr>
          <w:rFonts w:ascii="Helvetica" w:hAnsi="Helvetica" w:cs="Helvetica"/>
          <w:sz w:val="20"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6"/>
      </w:tblGrid>
      <w:tr w:rsidR="00CB478E" w:rsidRPr="00DA3AFE" w14:paraId="2B93E21B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14FF2406" w14:textId="0CA0ACA2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Medžiaga</w:t>
            </w:r>
          </w:p>
        </w:tc>
        <w:tc>
          <w:tcPr>
            <w:tcW w:w="2266" w:type="dxa"/>
            <w:shd w:val="clear" w:color="auto" w:fill="auto"/>
          </w:tcPr>
          <w:p w14:paraId="1B15BA2C" w14:textId="55DF5ED1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Kiekis (% (m/ m))</w:t>
            </w:r>
          </w:p>
        </w:tc>
      </w:tr>
      <w:tr w:rsidR="00CB478E" w:rsidRPr="00DA3AFE" w14:paraId="11D22B7B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63560185" w14:textId="2E18BAF3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2-(2,5-dioksopirolidin-1-il) etilmetilfumaratas</w:t>
            </w:r>
          </w:p>
        </w:tc>
        <w:tc>
          <w:tcPr>
            <w:tcW w:w="2266" w:type="dxa"/>
            <w:shd w:val="clear" w:color="auto" w:fill="auto"/>
          </w:tcPr>
          <w:p w14:paraId="758531BE" w14:textId="18D9B0D1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76,09</w:t>
            </w:r>
          </w:p>
        </w:tc>
      </w:tr>
      <w:tr w:rsidR="00CB478E" w:rsidRPr="00DA3AFE" w14:paraId="5314E620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46DABF10" w14:textId="20A8F506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mikrokristalinė celiuliozė</w:t>
            </w:r>
          </w:p>
        </w:tc>
        <w:tc>
          <w:tcPr>
            <w:tcW w:w="2266" w:type="dxa"/>
            <w:shd w:val="clear" w:color="auto" w:fill="auto"/>
          </w:tcPr>
          <w:p w14:paraId="50E09730" w14:textId="0981BEB5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3,91</w:t>
            </w:r>
          </w:p>
        </w:tc>
      </w:tr>
      <w:tr w:rsidR="00CB478E" w:rsidRPr="00DA3AFE" w14:paraId="63699294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63CD43B9" w14:textId="3580A8CE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krospovidonas</w:t>
            </w:r>
          </w:p>
        </w:tc>
        <w:tc>
          <w:tcPr>
            <w:tcW w:w="2266" w:type="dxa"/>
            <w:shd w:val="clear" w:color="auto" w:fill="auto"/>
          </w:tcPr>
          <w:p w14:paraId="54ABF1D6" w14:textId="69CCD9F2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4,35</w:t>
            </w:r>
          </w:p>
        </w:tc>
      </w:tr>
      <w:tr w:rsidR="00CB478E" w:rsidRPr="00DA3AFE" w14:paraId="04B0B4E0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642930EC" w14:textId="754BE4B0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koloidinis silicio dioksidas</w:t>
            </w:r>
          </w:p>
        </w:tc>
        <w:tc>
          <w:tcPr>
            <w:tcW w:w="2266" w:type="dxa"/>
            <w:shd w:val="clear" w:color="auto" w:fill="auto"/>
          </w:tcPr>
          <w:p w14:paraId="1B46C2ED" w14:textId="39CB4B38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1,74</w:t>
            </w:r>
          </w:p>
        </w:tc>
      </w:tr>
      <w:tr w:rsidR="00CB478E" w:rsidRPr="00DA3AFE" w14:paraId="49A25465" w14:textId="77777777" w:rsidTr="00C6664B">
        <w:trPr>
          <w:jc w:val="center"/>
        </w:trPr>
        <w:tc>
          <w:tcPr>
            <w:tcW w:w="3510" w:type="dxa"/>
            <w:shd w:val="clear" w:color="auto" w:fill="auto"/>
          </w:tcPr>
          <w:p w14:paraId="0A17A063" w14:textId="41E69B0E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magnio stearatas (ne galvijų)</w:t>
            </w:r>
          </w:p>
        </w:tc>
        <w:tc>
          <w:tcPr>
            <w:tcW w:w="2266" w:type="dxa"/>
            <w:shd w:val="clear" w:color="auto" w:fill="auto"/>
          </w:tcPr>
          <w:p w14:paraId="4770B37B" w14:textId="3DAA548B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0,87</w:t>
            </w:r>
          </w:p>
        </w:tc>
      </w:tr>
    </w:tbl>
    <w:p w14:paraId="6E54EFE8" w14:textId="1F332849" w:rsidR="00333AD2" w:rsidRPr="00DA3AFE" w:rsidRDefault="00CB478E" w:rsidP="00DA3AFE">
      <w:pPr>
        <w:spacing w:before="120"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dar</w:t>
      </w:r>
      <w:r w:rsidR="00333AD2" w:rsidRPr="00DA3AFE">
        <w:rPr>
          <w:rFonts w:ascii="Helvetica" w:hAnsi="Helvetica" w:cs="Helvetica"/>
          <w:sz w:val="20"/>
          <w:szCs w:val="24"/>
          <w:lang w:val="lt-LT"/>
        </w:rPr>
        <w:t xml:space="preserve"> kur danga susideda iš: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</w:tblGrid>
      <w:tr w:rsidR="00C6664B" w:rsidRPr="00DA3AFE" w14:paraId="06B6E087" w14:textId="77777777" w:rsidTr="00C6664B">
        <w:trPr>
          <w:jc w:val="center"/>
        </w:trPr>
        <w:tc>
          <w:tcPr>
            <w:tcW w:w="4503" w:type="dxa"/>
            <w:shd w:val="clear" w:color="auto" w:fill="auto"/>
          </w:tcPr>
          <w:p w14:paraId="570E4B3B" w14:textId="77777777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Medžiaga</w:t>
            </w:r>
          </w:p>
        </w:tc>
        <w:tc>
          <w:tcPr>
            <w:tcW w:w="2268" w:type="dxa"/>
            <w:shd w:val="clear" w:color="auto" w:fill="auto"/>
          </w:tcPr>
          <w:p w14:paraId="5A68EF72" w14:textId="77777777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Kiekis (% (m/ m))</w:t>
            </w:r>
          </w:p>
        </w:tc>
      </w:tr>
      <w:tr w:rsidR="00C6664B" w:rsidRPr="00DA3AFE" w14:paraId="1B8360CA" w14:textId="77777777" w:rsidTr="00C6664B">
        <w:trPr>
          <w:jc w:val="center"/>
        </w:trPr>
        <w:tc>
          <w:tcPr>
            <w:tcW w:w="4503" w:type="dxa"/>
            <w:shd w:val="clear" w:color="auto" w:fill="auto"/>
          </w:tcPr>
          <w:p w14:paraId="30D0550A" w14:textId="0924617D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metakrilo rūgšties kopolimeras - C tipo</w:t>
            </w:r>
          </w:p>
        </w:tc>
        <w:tc>
          <w:tcPr>
            <w:tcW w:w="2268" w:type="dxa"/>
            <w:shd w:val="clear" w:color="auto" w:fill="auto"/>
          </w:tcPr>
          <w:p w14:paraId="435B2ABD" w14:textId="1045B80C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8,15</w:t>
            </w:r>
          </w:p>
        </w:tc>
      </w:tr>
      <w:tr w:rsidR="00C6664B" w:rsidRPr="00DA3AFE" w14:paraId="4B1D10AC" w14:textId="77777777" w:rsidTr="00C6664B">
        <w:trPr>
          <w:jc w:val="center"/>
        </w:trPr>
        <w:tc>
          <w:tcPr>
            <w:tcW w:w="4503" w:type="dxa"/>
            <w:shd w:val="clear" w:color="auto" w:fill="auto"/>
          </w:tcPr>
          <w:p w14:paraId="15C51D63" w14:textId="2D07D5FC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trietilo citratas</w:t>
            </w:r>
          </w:p>
        </w:tc>
        <w:tc>
          <w:tcPr>
            <w:tcW w:w="2268" w:type="dxa"/>
            <w:shd w:val="clear" w:color="auto" w:fill="auto"/>
          </w:tcPr>
          <w:p w14:paraId="46050EFE" w14:textId="7437B875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1,63</w:t>
            </w:r>
          </w:p>
        </w:tc>
      </w:tr>
      <w:tr w:rsidR="00C6664B" w:rsidRPr="00DA3AFE" w14:paraId="429D20FA" w14:textId="77777777" w:rsidTr="00C6664B">
        <w:trPr>
          <w:jc w:val="center"/>
        </w:trPr>
        <w:tc>
          <w:tcPr>
            <w:tcW w:w="4503" w:type="dxa"/>
            <w:shd w:val="clear" w:color="auto" w:fill="auto"/>
          </w:tcPr>
          <w:p w14:paraId="35156DA1" w14:textId="38DB7B97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koloidinis silicio dioksidas</w:t>
            </w:r>
          </w:p>
        </w:tc>
        <w:tc>
          <w:tcPr>
            <w:tcW w:w="2268" w:type="dxa"/>
            <w:shd w:val="clear" w:color="auto" w:fill="auto"/>
          </w:tcPr>
          <w:p w14:paraId="121B767C" w14:textId="4A1006C7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1,63</w:t>
            </w:r>
          </w:p>
        </w:tc>
      </w:tr>
      <w:tr w:rsidR="00C6664B" w:rsidRPr="00DA3AFE" w14:paraId="7DBA7D36" w14:textId="77777777" w:rsidTr="00C6664B">
        <w:trPr>
          <w:jc w:val="center"/>
        </w:trPr>
        <w:tc>
          <w:tcPr>
            <w:tcW w:w="4503" w:type="dxa"/>
            <w:shd w:val="clear" w:color="auto" w:fill="auto"/>
          </w:tcPr>
          <w:p w14:paraId="2106FDED" w14:textId="77E9A3EE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talkas (sterilizuotas)</w:t>
            </w:r>
          </w:p>
        </w:tc>
        <w:tc>
          <w:tcPr>
            <w:tcW w:w="2268" w:type="dxa"/>
            <w:shd w:val="clear" w:color="auto" w:fill="auto"/>
          </w:tcPr>
          <w:p w14:paraId="24481E2D" w14:textId="42A76CD6" w:rsidR="00CB478E" w:rsidRPr="00DA3AFE" w:rsidRDefault="00CB478E" w:rsidP="00DA3AFE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A3AFE">
              <w:rPr>
                <w:rFonts w:ascii="Helvetica" w:hAnsi="Helvetica" w:cs="Helvetica"/>
                <w:sz w:val="20"/>
                <w:szCs w:val="24"/>
                <w:lang w:val="lt-LT"/>
              </w:rPr>
              <w:t>1,63</w:t>
            </w:r>
          </w:p>
        </w:tc>
      </w:tr>
    </w:tbl>
    <w:p w14:paraId="54588096" w14:textId="414C63E4" w:rsidR="00333AD2" w:rsidRPr="00DA3AFE" w:rsidRDefault="00333AD2" w:rsidP="00DA3AFE">
      <w:pPr>
        <w:spacing w:before="120"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; ir </w:t>
      </w:r>
      <w:r w:rsidR="00CB478E" w:rsidRPr="00DA3AFE">
        <w:rPr>
          <w:rFonts w:ascii="Helvetica" w:hAnsi="Helvetica" w:cs="Helvetica"/>
          <w:sz w:val="20"/>
          <w:szCs w:val="24"/>
          <w:lang w:val="lt-LT"/>
        </w:rPr>
        <w:t>dar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kur kiekis (m/ m) reiškia farmacinės kompozicijos masės procent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inį kiekį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73DF3AB4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714C36D" w14:textId="6B9C26EB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14. Kieta peroralinė dozavimo forma, kur kieta peroralinė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dozavimo forma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yra kapsulė,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farmacin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ė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kompozicij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pagal 2, 5 arba 11 punktą, minėta farmacinė kompozicija apima minėtų tablečių ar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ba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granulių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 xml:space="preserve"> visumą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</w:p>
    <w:p w14:paraId="7E8F7E84" w14:textId="7777777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F7E7D7" w14:textId="78CC3630" w:rsidR="00333AD2" w:rsidRPr="00DA3AFE" w:rsidRDefault="00333AD2" w:rsidP="00DA3AF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 xml:space="preserve">15. Farmacinė kompozicija arba kieta peroralinė dozavimo forma pagal bet kurį ankstesnį punktą, skirta naudoti gydymo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būde</w:t>
      </w:r>
      <w:r w:rsidRPr="00DA3AFE">
        <w:rPr>
          <w:rFonts w:ascii="Helvetica" w:hAnsi="Helvetica" w:cs="Helvetica"/>
          <w:sz w:val="20"/>
          <w:szCs w:val="24"/>
          <w:lang w:val="lt-LT"/>
        </w:rPr>
        <w:t>:</w:t>
      </w:r>
    </w:p>
    <w:p w14:paraId="3085F89A" w14:textId="75340DD7" w:rsidR="00333AD2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a) išsėtinė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s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sklerozė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s</w:t>
      </w:r>
      <w:r w:rsidRPr="00DA3AFE">
        <w:rPr>
          <w:rFonts w:ascii="Helvetica" w:hAnsi="Helvetica" w:cs="Helvetica"/>
          <w:sz w:val="20"/>
          <w:szCs w:val="24"/>
          <w:lang w:val="lt-LT"/>
        </w:rPr>
        <w:t>, apiman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čiame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 xml:space="preserve">įvedimą 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terapiškai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veiksmingo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minėtos farmacinės kompozicijos arba kietos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peroralinės dozavimo form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os 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subjek</w:t>
      </w:r>
      <w:r w:rsidRPr="00DA3AFE">
        <w:rPr>
          <w:rFonts w:ascii="Helvetica" w:hAnsi="Helvetica" w:cs="Helvetica"/>
          <w:sz w:val="20"/>
          <w:szCs w:val="24"/>
          <w:lang w:val="lt-LT"/>
        </w:rPr>
        <w:t>tui, kuriam jos reikia, pasirinktinai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,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kur būdas sumažina vaisto sukelto virškinimo trakto sutrikimo tikimybę </w:t>
      </w:r>
      <w:r w:rsidR="00B9759E" w:rsidRPr="00DA3AFE">
        <w:rPr>
          <w:rFonts w:ascii="Helvetica" w:hAnsi="Helvetica" w:cs="Helvetica"/>
          <w:sz w:val="20"/>
          <w:szCs w:val="24"/>
          <w:lang w:val="lt-LT"/>
        </w:rPr>
        <w:t>subjektui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, kuris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t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uo metu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buvo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gydomas dimetilfumaratu arba </w:t>
      </w:r>
      <w:r w:rsidR="00F269E4" w:rsidRPr="00DA3AFE">
        <w:rPr>
          <w:rFonts w:ascii="Helvetica" w:hAnsi="Helvetica" w:cs="Helvetica"/>
          <w:sz w:val="20"/>
          <w:szCs w:val="24"/>
          <w:lang w:val="lt-LT"/>
        </w:rPr>
        <w:t>kuris ketina gydytis dimetilfumaratu</w:t>
      </w:r>
      <w:r w:rsidRPr="00DA3AFE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0E06182F" w14:textId="0B01A98F" w:rsidR="00864E7D" w:rsidRPr="00DA3AFE" w:rsidRDefault="00333AD2" w:rsidP="00DA3AFE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A3AFE">
        <w:rPr>
          <w:rFonts w:ascii="Helvetica" w:hAnsi="Helvetica" w:cs="Helvetica"/>
          <w:sz w:val="20"/>
          <w:szCs w:val="24"/>
          <w:lang w:val="lt-LT"/>
        </w:rPr>
        <w:t>b) subjekto neurologini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o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apimančiame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minėtos farmacinės kompozicijos arba kietos 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peroralinės dozavimo form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os 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įvedimą</w:t>
      </w:r>
      <w:r w:rsidRPr="00DA3AFE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437A2" w:rsidRPr="00DA3AFE">
        <w:rPr>
          <w:rFonts w:ascii="Helvetica" w:hAnsi="Helvetica" w:cs="Helvetica"/>
          <w:sz w:val="20"/>
          <w:szCs w:val="24"/>
          <w:lang w:val="lt-LT"/>
        </w:rPr>
        <w:t>subjektui</w:t>
      </w:r>
      <w:r w:rsidRPr="00DA3AFE">
        <w:rPr>
          <w:rFonts w:ascii="Helvetica" w:hAnsi="Helvetica" w:cs="Helvetica"/>
          <w:sz w:val="20"/>
          <w:szCs w:val="24"/>
          <w:lang w:val="lt-LT"/>
        </w:rPr>
        <w:t>.</w:t>
      </w:r>
      <w:bookmarkStart w:id="0" w:name="_GoBack"/>
      <w:bookmarkEnd w:id="0"/>
    </w:p>
    <w:sectPr w:rsidR="00864E7D" w:rsidRPr="00DA3AFE" w:rsidSect="00DA3AF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FEE0D" w14:textId="77777777" w:rsidR="00CC4F94" w:rsidRDefault="00CC4F94" w:rsidP="007B0A41">
      <w:pPr>
        <w:spacing w:after="0" w:line="240" w:lineRule="auto"/>
      </w:pPr>
      <w:r>
        <w:separator/>
      </w:r>
    </w:p>
  </w:endnote>
  <w:endnote w:type="continuationSeparator" w:id="0">
    <w:p w14:paraId="17C5BC3D" w14:textId="77777777" w:rsidR="00CC4F94" w:rsidRDefault="00CC4F9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F5D2A" w14:textId="77777777" w:rsidR="00CC4F94" w:rsidRDefault="00CC4F94" w:rsidP="007B0A41">
      <w:pPr>
        <w:spacing w:after="0" w:line="240" w:lineRule="auto"/>
      </w:pPr>
      <w:r>
        <w:separator/>
      </w:r>
    </w:p>
  </w:footnote>
  <w:footnote w:type="continuationSeparator" w:id="0">
    <w:p w14:paraId="6E361740" w14:textId="77777777" w:rsidR="00CC4F94" w:rsidRDefault="00CC4F9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920AB"/>
    <w:rsid w:val="00120AC9"/>
    <w:rsid w:val="001C33D1"/>
    <w:rsid w:val="001C5C8D"/>
    <w:rsid w:val="001E72CD"/>
    <w:rsid w:val="001F266E"/>
    <w:rsid w:val="002837FC"/>
    <w:rsid w:val="00333AD2"/>
    <w:rsid w:val="003566D6"/>
    <w:rsid w:val="00431822"/>
    <w:rsid w:val="004437A2"/>
    <w:rsid w:val="005907C8"/>
    <w:rsid w:val="005C2F89"/>
    <w:rsid w:val="00661C7E"/>
    <w:rsid w:val="00683EAE"/>
    <w:rsid w:val="007B0A41"/>
    <w:rsid w:val="00806BE5"/>
    <w:rsid w:val="00864E7D"/>
    <w:rsid w:val="008A7B6E"/>
    <w:rsid w:val="008B0A5D"/>
    <w:rsid w:val="00AD4C0F"/>
    <w:rsid w:val="00AE51EA"/>
    <w:rsid w:val="00B9759E"/>
    <w:rsid w:val="00C36CCF"/>
    <w:rsid w:val="00C6664B"/>
    <w:rsid w:val="00CB478E"/>
    <w:rsid w:val="00CC4F94"/>
    <w:rsid w:val="00D30F69"/>
    <w:rsid w:val="00D54A23"/>
    <w:rsid w:val="00DA16A4"/>
    <w:rsid w:val="00DA3AFE"/>
    <w:rsid w:val="00DB375D"/>
    <w:rsid w:val="00E24060"/>
    <w:rsid w:val="00F269E4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7D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B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B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4966</Characters>
  <Application>Microsoft Office Word</Application>
  <DocSecurity>0</DocSecurity>
  <Lines>107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Raimonda Kvietkauskaite</cp:lastModifiedBy>
  <cp:revision>2</cp:revision>
  <dcterms:created xsi:type="dcterms:W3CDTF">2021-06-08T11:09:00Z</dcterms:created>
  <dcterms:modified xsi:type="dcterms:W3CDTF">2021-06-08T11:09:00Z</dcterms:modified>
</cp:coreProperties>
</file>