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768B" w14:textId="44FCC0D2" w:rsidR="00E34D09" w:rsidRPr="00943C95" w:rsidRDefault="00BA2E9F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Kompozicija, apimanti </w:t>
      </w:r>
      <w:proofErr w:type="spellStart"/>
      <w:r w:rsidR="00E34D09" w:rsidRPr="00943C95">
        <w:rPr>
          <w:rFonts w:ascii="Helvetica" w:hAnsi="Helvetica" w:cs="Helvetica"/>
          <w:sz w:val="20"/>
          <w:szCs w:val="24"/>
          <w:lang w:val="lt-LT"/>
        </w:rPr>
        <w:t>menotropiną</w:t>
      </w:r>
      <w:proofErr w:type="spellEnd"/>
      <w:r w:rsidR="00E34D09" w:rsidRPr="00943C95">
        <w:rPr>
          <w:rFonts w:ascii="Helvetica" w:hAnsi="Helvetica" w:cs="Helvetica"/>
          <w:sz w:val="20"/>
          <w:szCs w:val="24"/>
          <w:lang w:val="lt-LT"/>
        </w:rPr>
        <w:t>, skirta naudoti pacient</w:t>
      </w:r>
      <w:r w:rsidR="00C150F9" w:rsidRPr="00943C95">
        <w:rPr>
          <w:rFonts w:ascii="Helvetica" w:hAnsi="Helvetica" w:cs="Helvetica"/>
          <w:sz w:val="20"/>
          <w:szCs w:val="24"/>
          <w:lang w:val="lt-LT"/>
        </w:rPr>
        <w:t>ės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nevaisingumui gydyti, kad tokiu būdu būtų paskatintas </w:t>
      </w:r>
      <w:proofErr w:type="spellStart"/>
      <w:r w:rsidR="00E34D09" w:rsidRPr="00943C95">
        <w:rPr>
          <w:rFonts w:ascii="Helvetica" w:hAnsi="Helvetica" w:cs="Helvetica"/>
          <w:sz w:val="20"/>
          <w:szCs w:val="24"/>
          <w:lang w:val="lt-LT"/>
        </w:rPr>
        <w:t>euploidinių</w:t>
      </w:r>
      <w:proofErr w:type="spellEnd"/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E34D09" w:rsidRPr="00943C95">
        <w:rPr>
          <w:rFonts w:ascii="Helvetica" w:hAnsi="Helvetica" w:cs="Helvetica"/>
          <w:sz w:val="20"/>
          <w:szCs w:val="24"/>
          <w:lang w:val="lt-LT"/>
        </w:rPr>
        <w:t>blastocistų</w:t>
      </w:r>
      <w:proofErr w:type="spellEnd"/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vystymasis tam, kad ateityje </w:t>
      </w:r>
      <w:proofErr w:type="spellStart"/>
      <w:r w:rsidR="00E34D09" w:rsidRPr="00943C95">
        <w:rPr>
          <w:rFonts w:ascii="Helvetica" w:hAnsi="Helvetica" w:cs="Helvetica"/>
          <w:sz w:val="20"/>
          <w:szCs w:val="24"/>
          <w:lang w:val="lt-LT"/>
        </w:rPr>
        <w:t>blastocistas</w:t>
      </w:r>
      <w:proofErr w:type="spellEnd"/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būtų perkeltas pacient</w:t>
      </w:r>
      <w:r w:rsidR="00955AED" w:rsidRPr="00943C95">
        <w:rPr>
          <w:rFonts w:ascii="Helvetica" w:hAnsi="Helvetica" w:cs="Helvetica"/>
          <w:sz w:val="20"/>
          <w:szCs w:val="24"/>
          <w:lang w:val="lt-LT"/>
        </w:rPr>
        <w:t>ei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, gydymas apima: </w:t>
      </w:r>
    </w:p>
    <w:p w14:paraId="2B89451E" w14:textId="4F42ED6A" w:rsidR="00E34D09" w:rsidRPr="00943C95" w:rsidRDefault="00E34D09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nustatymą pacient</w:t>
      </w:r>
      <w:r w:rsidR="00955AED" w:rsidRPr="00943C95">
        <w:rPr>
          <w:rFonts w:ascii="Helvetica" w:hAnsi="Helvetica" w:cs="Helvetica"/>
          <w:sz w:val="20"/>
          <w:szCs w:val="24"/>
          <w:lang w:val="lt-LT"/>
        </w:rPr>
        <w:t>ės</w:t>
      </w:r>
      <w:r w:rsidRPr="00943C95">
        <w:rPr>
          <w:rFonts w:ascii="Helvetica" w:hAnsi="Helvetica" w:cs="Helvetica"/>
          <w:sz w:val="20"/>
          <w:szCs w:val="24"/>
          <w:lang w:val="lt-LT"/>
        </w:rPr>
        <w:t>, kurio</w:t>
      </w:r>
      <w:r w:rsidR="00955AED" w:rsidRPr="00943C95">
        <w:rPr>
          <w:rFonts w:ascii="Helvetica" w:hAnsi="Helvetica" w:cs="Helvetica"/>
          <w:sz w:val="20"/>
          <w:szCs w:val="24"/>
          <w:lang w:val="lt-LT"/>
        </w:rPr>
        <w:t>s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serumo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antimulerio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hormono (AMH) lygis yra ≥ 5,2 ± 0,5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ng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/ml, ir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antralinių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folikulų skaičius (AFC) yra ≥ 10 abiejose kiaušidėse kartu prieš gydymą/stimuliaciją; ir</w:t>
      </w:r>
    </w:p>
    <w:p w14:paraId="4C2D6039" w14:textId="0BEC1BF7" w:rsidR="00E34D09" w:rsidRPr="00943C95" w:rsidRDefault="00DA1D2D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hMG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dozės nuo 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>75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iki 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300 TV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per parą 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>arba j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>a</w:t>
      </w:r>
      <w:r w:rsidRPr="00943C95">
        <w:rPr>
          <w:rFonts w:ascii="Helvetica" w:hAnsi="Helvetica" w:cs="Helvetica"/>
          <w:sz w:val="20"/>
          <w:szCs w:val="24"/>
          <w:lang w:val="lt-LT"/>
        </w:rPr>
        <w:t>i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>lygiavertės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doz</w:t>
      </w:r>
      <w:r w:rsidRPr="00943C95">
        <w:rPr>
          <w:rFonts w:ascii="Helvetica" w:hAnsi="Helvetica" w:cs="Helvetica"/>
          <w:sz w:val="20"/>
          <w:szCs w:val="24"/>
          <w:lang w:val="lt-LT"/>
        </w:rPr>
        <w:t>ės vartojimą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nuo 1 iki 5</w:t>
      </w:r>
      <w:r w:rsidRPr="00943C95">
        <w:rPr>
          <w:rFonts w:ascii="Helvetica" w:hAnsi="Helvetica" w:cs="Helvetica"/>
          <w:sz w:val="20"/>
          <w:szCs w:val="24"/>
          <w:lang w:val="lt-LT"/>
        </w:rPr>
        <w:t>-tos</w:t>
      </w:r>
      <w:r w:rsidR="00E34D09" w:rsidRPr="00943C95">
        <w:rPr>
          <w:rFonts w:ascii="Helvetica" w:hAnsi="Helvetica" w:cs="Helvetica"/>
          <w:sz w:val="20"/>
          <w:szCs w:val="24"/>
          <w:lang w:val="lt-LT"/>
        </w:rPr>
        <w:t xml:space="preserve"> gydymo dienos.</w:t>
      </w:r>
    </w:p>
    <w:p w14:paraId="56A4FEA8" w14:textId="77777777" w:rsidR="00DA1D2D" w:rsidRPr="00943C95" w:rsidRDefault="00DA1D2D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D972A8B" w14:textId="427A7D20" w:rsidR="00E34D09" w:rsidRPr="00943C95" w:rsidRDefault="00E34D09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2.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Kompozicija, skirta naudoti pagal 1 punktą, kur gydymas, skatinantis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euploidinių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blastocistų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vystymąsi būsimam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blastocistų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perkėlimui, padidina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euploidinių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blastocistų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proporciją/procent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>inę dalį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>lyginant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su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aneuploidinių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blastocistų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proporcija/procent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>ine dalimi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ir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 xml:space="preserve"> (</w:t>
      </w:r>
      <w:r w:rsidRPr="00943C95">
        <w:rPr>
          <w:rFonts w:ascii="Helvetica" w:hAnsi="Helvetica" w:cs="Helvetica"/>
          <w:sz w:val="20"/>
          <w:szCs w:val="24"/>
          <w:lang w:val="lt-LT"/>
        </w:rPr>
        <w:t>arba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>)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sumažina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aneuploidijos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dažnį.</w:t>
      </w:r>
    </w:p>
    <w:p w14:paraId="73F90BB3" w14:textId="77777777" w:rsidR="00DA1D2D" w:rsidRPr="00943C95" w:rsidRDefault="00DA1D2D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E119815" w14:textId="4844AF87" w:rsidR="00E34D09" w:rsidRPr="00943C95" w:rsidRDefault="00E34D09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3.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Kompozicija, skirta naudoti pagal bet kurį ankstesnį punktą, kur gydymas 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>dar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apima: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hCG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>vartojimą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ovuliacijai sukelti.</w:t>
      </w:r>
    </w:p>
    <w:p w14:paraId="61687080" w14:textId="77777777" w:rsidR="00DA1D2D" w:rsidRPr="00943C95" w:rsidRDefault="00DA1D2D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AEA9D74" w14:textId="67A935DD" w:rsidR="00E34D09" w:rsidRPr="00943C95" w:rsidRDefault="00E34D09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4.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Kompozicija, skirta naudoti pagal bet kurį ankstesnį punktą, kur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menotropinas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yra labai išgrynintas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menotropinas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(HP-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hMG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>).</w:t>
      </w:r>
    </w:p>
    <w:p w14:paraId="28EC4E29" w14:textId="77777777" w:rsidR="00DA1D2D" w:rsidRPr="00943C95" w:rsidRDefault="00DA1D2D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BE15923" w14:textId="408E0B2A" w:rsidR="00E34D09" w:rsidRPr="00943C95" w:rsidRDefault="00E34D09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5.</w:t>
      </w:r>
      <w:r w:rsidR="00DA1D2D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Kompozicija, skirta naudoti pagal bet kurį ankstesnį punktą, kur gydymas apima </w:t>
      </w:r>
      <w:proofErr w:type="spellStart"/>
      <w:r w:rsidR="00682180" w:rsidRPr="00943C95">
        <w:rPr>
          <w:rFonts w:ascii="Helvetica" w:hAnsi="Helvetica" w:cs="Helvetica"/>
          <w:sz w:val="20"/>
          <w:szCs w:val="24"/>
          <w:lang w:val="lt-LT"/>
        </w:rPr>
        <w:t>hMG</w:t>
      </w:r>
      <w:proofErr w:type="spellEnd"/>
      <w:r w:rsidR="00682180" w:rsidRPr="00943C95">
        <w:rPr>
          <w:rFonts w:ascii="Helvetica" w:hAnsi="Helvetica" w:cs="Helvetica"/>
          <w:sz w:val="20"/>
          <w:szCs w:val="24"/>
          <w:lang w:val="lt-LT"/>
        </w:rPr>
        <w:t xml:space="preserve"> dozės nuo 75 iki 300 TV per parą arba jai lygiavertės dozės įvedimą nuo 1 iki 5-tos gydymo dienos.</w:t>
      </w:r>
    </w:p>
    <w:p w14:paraId="5BF0BAB2" w14:textId="77777777" w:rsidR="00682180" w:rsidRPr="00943C95" w:rsidRDefault="00682180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4F5E24E" w14:textId="244F2932" w:rsidR="00682180" w:rsidRPr="00943C95" w:rsidRDefault="00E34D09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6.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Kompozicija, skirta naudoti pagal bet kurį ankstesnį punktą, kur gydymas apima </w:t>
      </w:r>
      <w:proofErr w:type="spellStart"/>
      <w:r w:rsidR="00682180" w:rsidRPr="00943C95">
        <w:rPr>
          <w:rFonts w:ascii="Helvetica" w:hAnsi="Helvetica" w:cs="Helvetica"/>
          <w:sz w:val="20"/>
          <w:szCs w:val="24"/>
          <w:lang w:val="lt-LT"/>
        </w:rPr>
        <w:t>hMG</w:t>
      </w:r>
      <w:proofErr w:type="spellEnd"/>
      <w:r w:rsidR="00682180" w:rsidRPr="00943C95">
        <w:rPr>
          <w:rFonts w:ascii="Helvetica" w:hAnsi="Helvetica" w:cs="Helvetica"/>
          <w:sz w:val="20"/>
          <w:szCs w:val="24"/>
          <w:lang w:val="lt-LT"/>
        </w:rPr>
        <w:t xml:space="preserve"> dozės lygios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150 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>TV per parą arba jai lygiavertės dozės įvedimą nuo 1 iki 5-tos gydymo dienos.</w:t>
      </w:r>
    </w:p>
    <w:p w14:paraId="4C0107E7" w14:textId="7BF97A11" w:rsidR="00E34D09" w:rsidRPr="00943C95" w:rsidRDefault="00E34D09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DD54D7D" w14:textId="71DDFB86" w:rsidR="003D0FEF" w:rsidRPr="00943C95" w:rsidRDefault="00E34D09" w:rsidP="00943C95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943C95">
        <w:rPr>
          <w:rFonts w:ascii="Helvetica" w:hAnsi="Helvetica" w:cs="Helvetica"/>
          <w:sz w:val="20"/>
          <w:szCs w:val="24"/>
          <w:lang w:val="lt-LT"/>
        </w:rPr>
        <w:t>7.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Kompozicija, skirta naudoti pagal bet kurį ankstesnį punktą, apimanti 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>tolimesnę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943C95">
        <w:rPr>
          <w:rFonts w:ascii="Helvetica" w:hAnsi="Helvetica" w:cs="Helvetica"/>
          <w:sz w:val="20"/>
          <w:szCs w:val="24"/>
          <w:lang w:val="lt-LT"/>
        </w:rPr>
        <w:t>GnRH</w:t>
      </w:r>
      <w:proofErr w:type="spellEnd"/>
      <w:r w:rsidRPr="00943C95">
        <w:rPr>
          <w:rFonts w:ascii="Helvetica" w:hAnsi="Helvetica" w:cs="Helvetica"/>
          <w:sz w:val="20"/>
          <w:szCs w:val="24"/>
          <w:lang w:val="lt-LT"/>
        </w:rPr>
        <w:t xml:space="preserve"> antagonisto 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>įvedimo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6</w:t>
      </w:r>
      <w:r w:rsidR="00682180" w:rsidRPr="00943C95">
        <w:rPr>
          <w:rFonts w:ascii="Helvetica" w:hAnsi="Helvetica" w:cs="Helvetica"/>
          <w:sz w:val="20"/>
          <w:szCs w:val="24"/>
          <w:lang w:val="lt-LT"/>
        </w:rPr>
        <w:t>-tą</w:t>
      </w:r>
      <w:r w:rsidRPr="00943C95">
        <w:rPr>
          <w:rFonts w:ascii="Helvetica" w:hAnsi="Helvetica" w:cs="Helvetica"/>
          <w:sz w:val="20"/>
          <w:szCs w:val="24"/>
          <w:lang w:val="lt-LT"/>
        </w:rPr>
        <w:t xml:space="preserve"> gydymo dieną pakopą.</w:t>
      </w:r>
    </w:p>
    <w:p w14:paraId="0AE488BE" w14:textId="77777777" w:rsidR="003D0FEF" w:rsidRPr="00943C95" w:rsidRDefault="003D0FEF" w:rsidP="00943C95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sectPr w:rsidR="003D0FEF" w:rsidRPr="00943C95" w:rsidSect="00943C9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A6DC" w14:textId="77777777" w:rsidR="00E51650" w:rsidRDefault="00E51650" w:rsidP="007B0A41">
      <w:pPr>
        <w:spacing w:after="0" w:line="240" w:lineRule="auto"/>
      </w:pPr>
      <w:r>
        <w:separator/>
      </w:r>
    </w:p>
  </w:endnote>
  <w:endnote w:type="continuationSeparator" w:id="0">
    <w:p w14:paraId="1A1DCD0E" w14:textId="77777777" w:rsidR="00E51650" w:rsidRDefault="00E5165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ABFD" w14:textId="77777777" w:rsidR="00E51650" w:rsidRDefault="00E51650" w:rsidP="007B0A41">
      <w:pPr>
        <w:spacing w:after="0" w:line="240" w:lineRule="auto"/>
      </w:pPr>
      <w:r>
        <w:separator/>
      </w:r>
    </w:p>
  </w:footnote>
  <w:footnote w:type="continuationSeparator" w:id="0">
    <w:p w14:paraId="50FDF1A0" w14:textId="77777777" w:rsidR="00E51650" w:rsidRDefault="00E5165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78C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2180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3C95"/>
    <w:rsid w:val="00947ACD"/>
    <w:rsid w:val="00955AE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0C95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0F9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A1D2D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34D09"/>
    <w:rsid w:val="00E51650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51D6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1365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2024-01-03T15:03:00Z</dcterms:created>
  <dcterms:modified xsi:type="dcterms:W3CDTF">2024-01-10T08:02:00Z</dcterms:modified>
</cp:coreProperties>
</file>