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C6422" w14:textId="18298FF6" w:rsidR="001656FC" w:rsidRPr="00997315" w:rsidRDefault="00BA2E9F" w:rsidP="0099731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97315">
        <w:rPr>
          <w:rFonts w:ascii="Helvetica" w:hAnsi="Helvetica" w:cs="Arial"/>
          <w:sz w:val="20"/>
          <w:szCs w:val="24"/>
          <w:lang w:val="lt-LT"/>
        </w:rPr>
        <w:t xml:space="preserve">1. </w:t>
      </w:r>
      <w:proofErr w:type="spellStart"/>
      <w:r w:rsidR="0066556A" w:rsidRPr="00997315">
        <w:rPr>
          <w:rFonts w:ascii="Helvetica" w:hAnsi="Helvetica" w:cs="Arial"/>
          <w:sz w:val="20"/>
          <w:szCs w:val="24"/>
          <w:lang w:val="lt-LT"/>
        </w:rPr>
        <w:t>Deutetrabenazinas</w:t>
      </w:r>
      <w:proofErr w:type="spellEnd"/>
      <w:r w:rsidR="0066556A" w:rsidRPr="00997315">
        <w:rPr>
          <w:rFonts w:ascii="Helvetica" w:hAnsi="Helvetica" w:cs="Arial"/>
          <w:sz w:val="20"/>
          <w:szCs w:val="24"/>
          <w:lang w:val="lt-LT"/>
        </w:rPr>
        <w:t xml:space="preserve"> arba kompozicija, apimanti </w:t>
      </w:r>
      <w:proofErr w:type="spellStart"/>
      <w:r w:rsidR="0066556A" w:rsidRPr="00997315">
        <w:rPr>
          <w:rFonts w:ascii="Helvetica" w:hAnsi="Helvetica" w:cs="Arial"/>
          <w:sz w:val="20"/>
          <w:szCs w:val="24"/>
          <w:lang w:val="lt-LT"/>
        </w:rPr>
        <w:t>deutetrabenaziną</w:t>
      </w:r>
      <w:proofErr w:type="spellEnd"/>
      <w:r w:rsidR="0066556A" w:rsidRPr="00997315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340BBA" w:rsidRPr="00997315">
        <w:rPr>
          <w:rFonts w:ascii="Helvetica" w:hAnsi="Helvetica" w:cs="Arial"/>
          <w:sz w:val="20"/>
          <w:szCs w:val="24"/>
          <w:lang w:val="lt-LT"/>
        </w:rPr>
        <w:t>skirti naudoti</w:t>
      </w:r>
      <w:r w:rsidR="0066556A" w:rsidRPr="00997315">
        <w:rPr>
          <w:rFonts w:ascii="Helvetica" w:hAnsi="Helvetica" w:cs="Arial"/>
          <w:sz w:val="20"/>
          <w:szCs w:val="24"/>
          <w:lang w:val="lt-LT"/>
        </w:rPr>
        <w:t xml:space="preserve"> nenorma</w:t>
      </w:r>
      <w:r w:rsidR="00E51975" w:rsidRPr="00997315">
        <w:rPr>
          <w:rFonts w:ascii="Helvetica" w:hAnsi="Helvetica" w:cs="Arial"/>
          <w:sz w:val="20"/>
          <w:szCs w:val="24"/>
          <w:lang w:val="lt-LT"/>
        </w:rPr>
        <w:t xml:space="preserve">laus </w:t>
      </w:r>
      <w:r w:rsidR="0066556A" w:rsidRPr="00997315">
        <w:rPr>
          <w:rFonts w:ascii="Helvetica" w:hAnsi="Helvetica" w:cs="Arial"/>
          <w:sz w:val="20"/>
          <w:szCs w:val="24"/>
          <w:lang w:val="lt-LT"/>
        </w:rPr>
        <w:t>nevaling</w:t>
      </w:r>
      <w:r w:rsidR="00E51975" w:rsidRPr="00997315">
        <w:rPr>
          <w:rFonts w:ascii="Helvetica" w:hAnsi="Helvetica" w:cs="Arial"/>
          <w:sz w:val="20"/>
          <w:szCs w:val="24"/>
          <w:lang w:val="lt-LT"/>
        </w:rPr>
        <w:t>o</w:t>
      </w:r>
      <w:r w:rsidR="0066556A" w:rsidRPr="00997315">
        <w:rPr>
          <w:rFonts w:ascii="Helvetica" w:hAnsi="Helvetica" w:cs="Arial"/>
          <w:sz w:val="20"/>
          <w:szCs w:val="24"/>
          <w:lang w:val="lt-LT"/>
        </w:rPr>
        <w:t xml:space="preserve"> subjekto jud</w:t>
      </w:r>
      <w:r w:rsidR="00E51975" w:rsidRPr="00997315">
        <w:rPr>
          <w:rFonts w:ascii="Helvetica" w:hAnsi="Helvetica" w:cs="Arial"/>
          <w:sz w:val="20"/>
          <w:szCs w:val="24"/>
          <w:lang w:val="lt-LT"/>
        </w:rPr>
        <w:t xml:space="preserve">ėjimo </w:t>
      </w:r>
      <w:r w:rsidR="0066556A" w:rsidRPr="00997315">
        <w:rPr>
          <w:rFonts w:ascii="Helvetica" w:hAnsi="Helvetica" w:cs="Arial"/>
          <w:sz w:val="20"/>
          <w:szCs w:val="24"/>
          <w:lang w:val="lt-LT"/>
        </w:rPr>
        <w:t>gydy</w:t>
      </w:r>
      <w:r w:rsidR="00E51975" w:rsidRPr="00997315">
        <w:rPr>
          <w:rFonts w:ascii="Helvetica" w:hAnsi="Helvetica" w:cs="Arial"/>
          <w:sz w:val="20"/>
          <w:szCs w:val="24"/>
          <w:lang w:val="lt-LT"/>
        </w:rPr>
        <w:t>mui</w:t>
      </w:r>
      <w:r w:rsidR="0066556A" w:rsidRPr="00997315">
        <w:rPr>
          <w:rFonts w:ascii="Helvetica" w:hAnsi="Helvetica" w:cs="Arial"/>
          <w:sz w:val="20"/>
          <w:szCs w:val="24"/>
          <w:lang w:val="lt-LT"/>
        </w:rPr>
        <w:t xml:space="preserve">, apimanti: </w:t>
      </w:r>
    </w:p>
    <w:p w14:paraId="06726B4D" w14:textId="513B68DC" w:rsidR="0066556A" w:rsidRPr="00997315" w:rsidRDefault="0066556A" w:rsidP="00997315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97315">
        <w:rPr>
          <w:rFonts w:ascii="Helvetica" w:hAnsi="Helvetica" w:cs="Arial"/>
          <w:sz w:val="20"/>
          <w:szCs w:val="24"/>
          <w:lang w:val="lt-LT"/>
        </w:rPr>
        <w:t xml:space="preserve">a) </w:t>
      </w:r>
      <w:r w:rsidR="001656FC" w:rsidRPr="00997315">
        <w:rPr>
          <w:rFonts w:ascii="Helvetica" w:hAnsi="Helvetica" w:cs="Arial"/>
          <w:sz w:val="20"/>
          <w:szCs w:val="24"/>
          <w:lang w:val="lt-LT"/>
        </w:rPr>
        <w:t xml:space="preserve">įvedimą </w:t>
      </w:r>
      <w:r w:rsidRPr="00997315">
        <w:rPr>
          <w:rFonts w:ascii="Helvetica" w:hAnsi="Helvetica" w:cs="Arial"/>
          <w:sz w:val="20"/>
          <w:szCs w:val="24"/>
          <w:lang w:val="lt-LT"/>
        </w:rPr>
        <w:t>subjektui pradin</w:t>
      </w:r>
      <w:r w:rsidR="001656FC" w:rsidRPr="00997315">
        <w:rPr>
          <w:rFonts w:ascii="Helvetica" w:hAnsi="Helvetica" w:cs="Arial"/>
          <w:sz w:val="20"/>
          <w:szCs w:val="24"/>
          <w:lang w:val="lt-LT"/>
        </w:rPr>
        <w:t>io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deutetrabenazino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1656FC" w:rsidRPr="00997315">
        <w:rPr>
          <w:rFonts w:ascii="Helvetica" w:hAnsi="Helvetica" w:cs="Arial"/>
          <w:sz w:val="20"/>
          <w:szCs w:val="24"/>
          <w:lang w:val="lt-LT"/>
        </w:rPr>
        <w:t>paros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kiek</w:t>
      </w:r>
      <w:r w:rsidR="001656FC" w:rsidRPr="00997315">
        <w:rPr>
          <w:rFonts w:ascii="Helvetica" w:hAnsi="Helvetica" w:cs="Arial"/>
          <w:sz w:val="20"/>
          <w:szCs w:val="24"/>
          <w:lang w:val="lt-LT"/>
        </w:rPr>
        <w:t>io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1656FC" w:rsidRPr="00997315">
        <w:rPr>
          <w:rFonts w:ascii="Helvetica" w:hAnsi="Helvetica" w:cs="Arial"/>
          <w:sz w:val="20"/>
          <w:szCs w:val="24"/>
          <w:lang w:val="lt-LT"/>
        </w:rPr>
        <w:t>bent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E7EE3" w:rsidRPr="00997315">
        <w:rPr>
          <w:rFonts w:ascii="Helvetica" w:hAnsi="Helvetica" w:cs="Arial"/>
          <w:sz w:val="20"/>
          <w:szCs w:val="24"/>
          <w:lang w:val="lt-LT"/>
        </w:rPr>
        <w:t>maždaug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6 mg per dieną;</w:t>
      </w:r>
    </w:p>
    <w:p w14:paraId="6E8B23B7" w14:textId="3F47FC82" w:rsidR="0066556A" w:rsidRPr="00997315" w:rsidRDefault="0066556A" w:rsidP="00997315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97315">
        <w:rPr>
          <w:rFonts w:ascii="Helvetica" w:hAnsi="Helvetica" w:cs="Arial"/>
          <w:sz w:val="20"/>
          <w:szCs w:val="24"/>
          <w:lang w:val="lt-LT"/>
        </w:rPr>
        <w:t xml:space="preserve">b) </w:t>
      </w:r>
      <w:r w:rsidR="001656FC" w:rsidRPr="00997315">
        <w:rPr>
          <w:rFonts w:ascii="Helvetica" w:hAnsi="Helvetica" w:cs="Arial"/>
          <w:sz w:val="20"/>
          <w:szCs w:val="24"/>
          <w:lang w:val="lt-LT"/>
        </w:rPr>
        <w:t xml:space="preserve">nustatymą 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maždaug </w:t>
      </w:r>
      <w:r w:rsidR="000A792F" w:rsidRPr="00997315">
        <w:rPr>
          <w:rFonts w:ascii="Helvetica" w:hAnsi="Helvetica" w:cs="Arial"/>
          <w:sz w:val="20"/>
          <w:szCs w:val="24"/>
          <w:lang w:val="lt-LT"/>
        </w:rPr>
        <w:t xml:space="preserve">po </w:t>
      </w:r>
      <w:r w:rsidRPr="00997315">
        <w:rPr>
          <w:rFonts w:ascii="Helvetica" w:hAnsi="Helvetica" w:cs="Arial"/>
          <w:sz w:val="20"/>
          <w:szCs w:val="24"/>
          <w:lang w:val="lt-LT"/>
        </w:rPr>
        <w:t>vienos savaitės nenorma</w:t>
      </w:r>
      <w:r w:rsidR="00E51975" w:rsidRPr="00997315">
        <w:rPr>
          <w:rFonts w:ascii="Helvetica" w:hAnsi="Helvetica" w:cs="Arial"/>
          <w:sz w:val="20"/>
          <w:szCs w:val="24"/>
          <w:lang w:val="lt-LT"/>
        </w:rPr>
        <w:t>laus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nevaling</w:t>
      </w:r>
      <w:r w:rsidR="00E51975" w:rsidRPr="00997315">
        <w:rPr>
          <w:rFonts w:ascii="Helvetica" w:hAnsi="Helvetica" w:cs="Arial"/>
          <w:sz w:val="20"/>
          <w:szCs w:val="24"/>
          <w:lang w:val="lt-LT"/>
        </w:rPr>
        <w:t>o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jud</w:t>
      </w:r>
      <w:r w:rsidR="00E51975" w:rsidRPr="00997315">
        <w:rPr>
          <w:rFonts w:ascii="Helvetica" w:hAnsi="Helvetica" w:cs="Arial"/>
          <w:sz w:val="20"/>
          <w:szCs w:val="24"/>
          <w:lang w:val="lt-LT"/>
        </w:rPr>
        <w:t>ėjimo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kontrolės laipsnio, pasiekto naudojant pradinę paros dozę, ir pradinės paros dozės toleravimo;</w:t>
      </w:r>
    </w:p>
    <w:p w14:paraId="6AE60CE7" w14:textId="4FC20464" w:rsidR="0066556A" w:rsidRPr="00997315" w:rsidRDefault="0066556A" w:rsidP="00997315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97315">
        <w:rPr>
          <w:rFonts w:ascii="Helvetica" w:hAnsi="Helvetica" w:cs="Arial"/>
          <w:sz w:val="20"/>
          <w:szCs w:val="24"/>
          <w:lang w:val="lt-LT"/>
        </w:rPr>
        <w:t xml:space="preserve">c)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deutetrabenazino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 xml:space="preserve"> paros dozės padidinim</w:t>
      </w:r>
      <w:r w:rsidR="001656FC" w:rsidRPr="00997315">
        <w:rPr>
          <w:rFonts w:ascii="Helvetica" w:hAnsi="Helvetica" w:cs="Arial"/>
          <w:sz w:val="20"/>
          <w:szCs w:val="24"/>
          <w:lang w:val="lt-LT"/>
        </w:rPr>
        <w:t>ą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6 mg per parą</w:t>
      </w:r>
      <w:r w:rsidR="001656FC" w:rsidRPr="00997315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daugiau iki </w:t>
      </w:r>
      <w:r w:rsidR="009F6DE5" w:rsidRPr="00997315">
        <w:rPr>
          <w:rFonts w:ascii="Helvetica" w:hAnsi="Helvetica" w:cs="Arial"/>
          <w:sz w:val="20"/>
          <w:szCs w:val="24"/>
          <w:lang w:val="lt-LT"/>
        </w:rPr>
        <w:t>kitos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paros dozės, jei nenormal</w:t>
      </w:r>
      <w:r w:rsidR="00E51975" w:rsidRPr="00997315">
        <w:rPr>
          <w:rFonts w:ascii="Helvetica" w:hAnsi="Helvetica" w:cs="Arial"/>
          <w:sz w:val="20"/>
          <w:szCs w:val="24"/>
          <w:lang w:val="lt-LT"/>
        </w:rPr>
        <w:t>aus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nevaling</w:t>
      </w:r>
      <w:r w:rsidR="00E51975" w:rsidRPr="00997315">
        <w:rPr>
          <w:rFonts w:ascii="Helvetica" w:hAnsi="Helvetica" w:cs="Arial"/>
          <w:sz w:val="20"/>
          <w:szCs w:val="24"/>
          <w:lang w:val="lt-LT"/>
        </w:rPr>
        <w:t>o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jud</w:t>
      </w:r>
      <w:r w:rsidR="00E51975" w:rsidRPr="00997315">
        <w:rPr>
          <w:rFonts w:ascii="Helvetica" w:hAnsi="Helvetica" w:cs="Arial"/>
          <w:sz w:val="20"/>
          <w:szCs w:val="24"/>
          <w:lang w:val="lt-LT"/>
        </w:rPr>
        <w:t>ėjimo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kontrolės laipsnis yra ne</w:t>
      </w:r>
      <w:r w:rsidR="009F6DE5" w:rsidRPr="00997315">
        <w:rPr>
          <w:rFonts w:ascii="Helvetica" w:hAnsi="Helvetica" w:cs="Arial"/>
          <w:sz w:val="20"/>
          <w:szCs w:val="24"/>
          <w:lang w:val="lt-LT"/>
        </w:rPr>
        <w:t>tinkamas,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ir paros kiekis yra toleruojamas;</w:t>
      </w:r>
    </w:p>
    <w:p w14:paraId="1689E9A4" w14:textId="56FA7653" w:rsidR="0066556A" w:rsidRPr="00997315" w:rsidRDefault="0066556A" w:rsidP="00997315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97315">
        <w:rPr>
          <w:rFonts w:ascii="Helvetica" w:hAnsi="Helvetica" w:cs="Arial"/>
          <w:sz w:val="20"/>
          <w:szCs w:val="24"/>
          <w:lang w:val="lt-LT"/>
        </w:rPr>
        <w:t xml:space="preserve">d) pasirinktinai, </w:t>
      </w:r>
      <w:r w:rsidR="009F6DE5" w:rsidRPr="00997315">
        <w:rPr>
          <w:rFonts w:ascii="Helvetica" w:hAnsi="Helvetica" w:cs="Arial"/>
          <w:sz w:val="20"/>
          <w:szCs w:val="24"/>
          <w:lang w:val="lt-LT"/>
        </w:rPr>
        <w:t xml:space="preserve">etapų </w:t>
      </w:r>
      <w:r w:rsidRPr="00997315">
        <w:rPr>
          <w:rFonts w:ascii="Helvetica" w:hAnsi="Helvetica" w:cs="Arial"/>
          <w:sz w:val="20"/>
          <w:szCs w:val="24"/>
          <w:lang w:val="lt-LT"/>
        </w:rPr>
        <w:t>b) ir c) kartojimą tol, kol nenormal</w:t>
      </w:r>
      <w:r w:rsidR="00E51975" w:rsidRPr="00997315">
        <w:rPr>
          <w:rFonts w:ascii="Helvetica" w:hAnsi="Helvetica" w:cs="Arial"/>
          <w:sz w:val="20"/>
          <w:szCs w:val="24"/>
          <w:lang w:val="lt-LT"/>
        </w:rPr>
        <w:t>aus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nevaling</w:t>
      </w:r>
      <w:r w:rsidR="00E51975" w:rsidRPr="00997315">
        <w:rPr>
          <w:rFonts w:ascii="Helvetica" w:hAnsi="Helvetica" w:cs="Arial"/>
          <w:sz w:val="20"/>
          <w:szCs w:val="24"/>
          <w:lang w:val="lt-LT"/>
        </w:rPr>
        <w:t>o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jud</w:t>
      </w:r>
      <w:r w:rsidR="00E51975" w:rsidRPr="00997315">
        <w:rPr>
          <w:rFonts w:ascii="Helvetica" w:hAnsi="Helvetica" w:cs="Arial"/>
          <w:sz w:val="20"/>
          <w:szCs w:val="24"/>
          <w:lang w:val="lt-LT"/>
        </w:rPr>
        <w:t>ėjimo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kontrolės laipsnis bus pakankamas</w:t>
      </w:r>
      <w:r w:rsidR="009F6DE5" w:rsidRPr="00997315">
        <w:rPr>
          <w:rFonts w:ascii="Helvetica" w:hAnsi="Helvetica" w:cs="Arial"/>
          <w:sz w:val="20"/>
          <w:szCs w:val="24"/>
          <w:lang w:val="lt-LT"/>
        </w:rPr>
        <w:t>,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ir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deutetrabenazino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 xml:space="preserve"> paros kiekis bus toleruojamas; ir</w:t>
      </w:r>
    </w:p>
    <w:p w14:paraId="43D4E576" w14:textId="14DBCBE2" w:rsidR="0066556A" w:rsidRPr="00997315" w:rsidRDefault="0066556A" w:rsidP="00997315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97315">
        <w:rPr>
          <w:rFonts w:ascii="Helvetica" w:hAnsi="Helvetica" w:cs="Arial"/>
          <w:sz w:val="20"/>
          <w:szCs w:val="24"/>
          <w:lang w:val="lt-LT"/>
        </w:rPr>
        <w:t>e) jei vėlesnis kiekis netoleruojamas, sumažin</w:t>
      </w:r>
      <w:r w:rsidR="00B05EDE" w:rsidRPr="00997315">
        <w:rPr>
          <w:rFonts w:ascii="Helvetica" w:hAnsi="Helvetica" w:cs="Arial"/>
          <w:sz w:val="20"/>
          <w:szCs w:val="24"/>
          <w:lang w:val="lt-LT"/>
        </w:rPr>
        <w:t>imą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paros doz</w:t>
      </w:r>
      <w:r w:rsidR="00B05EDE" w:rsidRPr="00997315">
        <w:rPr>
          <w:rFonts w:ascii="Helvetica" w:hAnsi="Helvetica" w:cs="Arial"/>
          <w:sz w:val="20"/>
          <w:szCs w:val="24"/>
          <w:lang w:val="lt-LT"/>
        </w:rPr>
        <w:t>ės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6 mg per parą</w:t>
      </w:r>
      <w:r w:rsidR="001656FC" w:rsidRPr="00997315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daugiau iki </w:t>
      </w:r>
      <w:r w:rsidR="002F0929" w:rsidRPr="00997315">
        <w:rPr>
          <w:rFonts w:ascii="Helvetica" w:hAnsi="Helvetica" w:cs="Arial"/>
          <w:sz w:val="20"/>
          <w:szCs w:val="24"/>
          <w:lang w:val="lt-LT"/>
        </w:rPr>
        <w:t>sekančios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paros dozės.</w:t>
      </w:r>
    </w:p>
    <w:p w14:paraId="6C40837E" w14:textId="77777777" w:rsidR="00B05EDE" w:rsidRPr="00997315" w:rsidRDefault="00B05EDE" w:rsidP="00997315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70F3608" w14:textId="307ABEDD" w:rsidR="0066556A" w:rsidRPr="00997315" w:rsidRDefault="0066556A" w:rsidP="0099731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97315">
        <w:rPr>
          <w:rFonts w:ascii="Helvetica" w:hAnsi="Helvetica" w:cs="Arial"/>
          <w:sz w:val="20"/>
          <w:szCs w:val="24"/>
          <w:lang w:val="lt-LT"/>
        </w:rPr>
        <w:t>2.</w:t>
      </w:r>
      <w:r w:rsidR="00B05EDE" w:rsidRPr="00997315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Deutetrabenazinas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 xml:space="preserve"> arba kompozicija, apimanti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deutetrabenaziną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340BBA" w:rsidRPr="00997315">
        <w:rPr>
          <w:rFonts w:ascii="Helvetica" w:hAnsi="Helvetica" w:cs="Arial"/>
          <w:sz w:val="20"/>
          <w:szCs w:val="24"/>
          <w:lang w:val="lt-LT"/>
        </w:rPr>
        <w:t>skirti naudoti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pagal 1 punktą, kur nenormal</w:t>
      </w:r>
      <w:r w:rsidR="00E51975" w:rsidRPr="00997315">
        <w:rPr>
          <w:rFonts w:ascii="Helvetica" w:hAnsi="Helvetica" w:cs="Arial"/>
          <w:sz w:val="20"/>
          <w:szCs w:val="24"/>
          <w:lang w:val="lt-LT"/>
        </w:rPr>
        <w:t>u</w:t>
      </w:r>
      <w:r w:rsidRPr="00997315">
        <w:rPr>
          <w:rFonts w:ascii="Helvetica" w:hAnsi="Helvetica" w:cs="Arial"/>
          <w:sz w:val="20"/>
          <w:szCs w:val="24"/>
          <w:lang w:val="lt-LT"/>
        </w:rPr>
        <w:t>s nevaling</w:t>
      </w:r>
      <w:r w:rsidR="00E51975" w:rsidRPr="00997315">
        <w:rPr>
          <w:rFonts w:ascii="Helvetica" w:hAnsi="Helvetica" w:cs="Arial"/>
          <w:sz w:val="20"/>
          <w:szCs w:val="24"/>
          <w:lang w:val="lt-LT"/>
        </w:rPr>
        <w:t>as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jud</w:t>
      </w:r>
      <w:r w:rsidR="00E51975" w:rsidRPr="00997315">
        <w:rPr>
          <w:rFonts w:ascii="Helvetica" w:hAnsi="Helvetica" w:cs="Arial"/>
          <w:sz w:val="20"/>
          <w:szCs w:val="24"/>
          <w:lang w:val="lt-LT"/>
        </w:rPr>
        <w:t>ėjimas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yra susiję</w:t>
      </w:r>
      <w:r w:rsidR="00E51975" w:rsidRPr="00997315">
        <w:rPr>
          <w:rFonts w:ascii="Helvetica" w:hAnsi="Helvetica" w:cs="Arial"/>
          <w:sz w:val="20"/>
          <w:szCs w:val="24"/>
          <w:lang w:val="lt-LT"/>
        </w:rPr>
        <w:t>s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su judėjimo sutrikimu arba yra jo sukel</w:t>
      </w:r>
      <w:r w:rsidR="00B05EDE" w:rsidRPr="00997315">
        <w:rPr>
          <w:rFonts w:ascii="Helvetica" w:hAnsi="Helvetica" w:cs="Arial"/>
          <w:sz w:val="20"/>
          <w:szCs w:val="24"/>
          <w:lang w:val="lt-LT"/>
        </w:rPr>
        <w:t>t</w:t>
      </w:r>
      <w:r w:rsidR="002F0929" w:rsidRPr="00997315">
        <w:rPr>
          <w:rFonts w:ascii="Helvetica" w:hAnsi="Helvetica" w:cs="Arial"/>
          <w:sz w:val="20"/>
          <w:szCs w:val="24"/>
          <w:lang w:val="lt-LT"/>
        </w:rPr>
        <w:t>as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; </w:t>
      </w:r>
      <w:r w:rsidR="00B05EDE" w:rsidRPr="00997315">
        <w:rPr>
          <w:rFonts w:ascii="Helvetica" w:hAnsi="Helvetica" w:cs="Arial"/>
          <w:sz w:val="20"/>
          <w:szCs w:val="24"/>
          <w:lang w:val="lt-LT"/>
        </w:rPr>
        <w:t>pageidautina</w:t>
      </w:r>
      <w:r w:rsidRPr="00997315">
        <w:rPr>
          <w:rFonts w:ascii="Helvetica" w:hAnsi="Helvetica" w:cs="Arial"/>
          <w:sz w:val="20"/>
          <w:szCs w:val="24"/>
          <w:lang w:val="lt-LT"/>
        </w:rPr>
        <w:t>, k</w:t>
      </w:r>
      <w:r w:rsidR="00B05EDE" w:rsidRPr="00997315">
        <w:rPr>
          <w:rFonts w:ascii="Helvetica" w:hAnsi="Helvetica" w:cs="Arial"/>
          <w:sz w:val="20"/>
          <w:szCs w:val="24"/>
          <w:lang w:val="lt-LT"/>
        </w:rPr>
        <w:t>ur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judėjimo sutrikimas yra parinktas iš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Hantingtono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 xml:space="preserve"> ligos, vėlyvosios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diskinezijos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 xml:space="preserve"> ir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Turet</w:t>
      </w:r>
      <w:r w:rsidR="00B05EDE" w:rsidRPr="00997315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 xml:space="preserve"> sindromo; pageidautina, kur nenormalus nevalingas jud</w:t>
      </w:r>
      <w:r w:rsidR="009B114E" w:rsidRPr="00997315">
        <w:rPr>
          <w:rFonts w:ascii="Helvetica" w:hAnsi="Helvetica" w:cs="Arial"/>
          <w:sz w:val="20"/>
          <w:szCs w:val="24"/>
          <w:lang w:val="lt-LT"/>
        </w:rPr>
        <w:t>ėjimas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yra parinktas iš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chorėjos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chorėjos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 xml:space="preserve">, susijusios su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Hantingtono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 xml:space="preserve"> liga,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akatizijos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diskinezijos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 xml:space="preserve">, tremoro, tiko ir tiko, susijusio su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Turet</w:t>
      </w:r>
      <w:r w:rsidR="005A331C" w:rsidRPr="00997315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 xml:space="preserve"> sindromu.</w:t>
      </w:r>
    </w:p>
    <w:p w14:paraId="2BC502F9" w14:textId="77777777" w:rsidR="005A331C" w:rsidRPr="00997315" w:rsidRDefault="005A331C" w:rsidP="00997315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78D6805" w14:textId="3EE09BCC" w:rsidR="0066556A" w:rsidRPr="00997315" w:rsidRDefault="0066556A" w:rsidP="0099731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97315">
        <w:rPr>
          <w:rFonts w:ascii="Helvetica" w:hAnsi="Helvetica" w:cs="Arial"/>
          <w:sz w:val="20"/>
          <w:szCs w:val="24"/>
          <w:lang w:val="lt-LT"/>
        </w:rPr>
        <w:t>3.</w:t>
      </w:r>
      <w:r w:rsidR="005A331C" w:rsidRPr="00997315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Deutetrabenazinas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 xml:space="preserve"> arba kompozicija, apimanti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deutetrabenaziną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340BBA" w:rsidRPr="00997315">
        <w:rPr>
          <w:rFonts w:ascii="Helvetica" w:hAnsi="Helvetica" w:cs="Arial"/>
          <w:sz w:val="20"/>
          <w:szCs w:val="24"/>
          <w:lang w:val="lt-LT"/>
        </w:rPr>
        <w:t>skirti naudoti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pagal bet kurį ankstesnį punktą, kur toleravimas yra nustatomas įvertinus vieną</w:t>
      </w:r>
      <w:r w:rsidR="001656FC" w:rsidRPr="00997315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daugiau subjekto depresijos, nerimo, nemigos, mieguistumo, nuovargio, galvos svaigimo, neramumo, susijaudinimo, dirglumo,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akatizijos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>, vėlyvo</w:t>
      </w:r>
      <w:r w:rsidR="005A331C" w:rsidRPr="00997315">
        <w:rPr>
          <w:rFonts w:ascii="Helvetica" w:hAnsi="Helvetica" w:cs="Arial"/>
          <w:sz w:val="20"/>
          <w:szCs w:val="24"/>
          <w:lang w:val="lt-LT"/>
        </w:rPr>
        <w:t>sios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diskinezij</w:t>
      </w:r>
      <w:r w:rsidR="005A331C" w:rsidRPr="00997315">
        <w:rPr>
          <w:rFonts w:ascii="Helvetica" w:hAnsi="Helvetica" w:cs="Arial"/>
          <w:sz w:val="20"/>
          <w:szCs w:val="24"/>
          <w:lang w:val="lt-LT"/>
        </w:rPr>
        <w:t>os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>, rijim</w:t>
      </w:r>
      <w:r w:rsidR="005A331C" w:rsidRPr="00997315">
        <w:rPr>
          <w:rFonts w:ascii="Helvetica" w:hAnsi="Helvetica" w:cs="Arial"/>
          <w:sz w:val="20"/>
          <w:szCs w:val="24"/>
          <w:lang w:val="lt-LT"/>
        </w:rPr>
        <w:t>o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parkinsonizm</w:t>
      </w:r>
      <w:r w:rsidR="005A331C" w:rsidRPr="00997315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>, vėmim</w:t>
      </w:r>
      <w:r w:rsidR="005A331C" w:rsidRPr="00997315">
        <w:rPr>
          <w:rFonts w:ascii="Helvetica" w:hAnsi="Helvetica" w:cs="Arial"/>
          <w:sz w:val="20"/>
          <w:szCs w:val="24"/>
          <w:lang w:val="lt-LT"/>
        </w:rPr>
        <w:t>o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ir pykinim</w:t>
      </w:r>
      <w:r w:rsidR="005A331C" w:rsidRPr="00997315">
        <w:rPr>
          <w:rFonts w:ascii="Helvetica" w:hAnsi="Helvetica" w:cs="Arial"/>
          <w:sz w:val="20"/>
          <w:szCs w:val="24"/>
          <w:lang w:val="lt-LT"/>
        </w:rPr>
        <w:t>o</w:t>
      </w:r>
      <w:r w:rsidR="00CE7EE3" w:rsidRPr="00997315">
        <w:rPr>
          <w:rFonts w:ascii="Helvetica" w:hAnsi="Helvetica" w:cs="Arial"/>
          <w:sz w:val="20"/>
          <w:szCs w:val="24"/>
          <w:lang w:val="lt-LT"/>
        </w:rPr>
        <w:t xml:space="preserve"> lygius</w:t>
      </w:r>
      <w:r w:rsidRPr="00997315">
        <w:rPr>
          <w:rFonts w:ascii="Helvetica" w:hAnsi="Helvetica" w:cs="Arial"/>
          <w:sz w:val="20"/>
          <w:szCs w:val="24"/>
          <w:lang w:val="lt-LT"/>
        </w:rPr>
        <w:t>.</w:t>
      </w:r>
    </w:p>
    <w:p w14:paraId="421EF00E" w14:textId="77777777" w:rsidR="00CE7EE3" w:rsidRPr="00997315" w:rsidRDefault="00CE7EE3" w:rsidP="00997315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2C99DAD" w14:textId="403D5DFC" w:rsidR="0066556A" w:rsidRPr="00997315" w:rsidRDefault="0066556A" w:rsidP="0099731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97315">
        <w:rPr>
          <w:rFonts w:ascii="Helvetica" w:hAnsi="Helvetica" w:cs="Arial"/>
          <w:sz w:val="20"/>
          <w:szCs w:val="24"/>
          <w:lang w:val="lt-LT"/>
        </w:rPr>
        <w:t>4.</w:t>
      </w:r>
      <w:r w:rsidR="00CE7EE3" w:rsidRPr="00997315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Deutetrabenazinas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 xml:space="preserve"> arba kompozicija, apimanti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deutetrabenaziną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340BBA" w:rsidRPr="00997315">
        <w:rPr>
          <w:rFonts w:ascii="Helvetica" w:hAnsi="Helvetica" w:cs="Arial"/>
          <w:sz w:val="20"/>
          <w:szCs w:val="24"/>
          <w:lang w:val="lt-LT"/>
        </w:rPr>
        <w:t>skirti naudoti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pagal bet kurį ankstesnį punktą, kur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deutetrabenazino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E7EE3" w:rsidRPr="00997315">
        <w:rPr>
          <w:rFonts w:ascii="Helvetica" w:hAnsi="Helvetica" w:cs="Arial"/>
          <w:sz w:val="20"/>
          <w:szCs w:val="24"/>
          <w:lang w:val="lt-LT"/>
        </w:rPr>
        <w:t>paros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kiekis yra </w:t>
      </w:r>
      <w:r w:rsidR="00CE7EE3" w:rsidRPr="00997315">
        <w:rPr>
          <w:rFonts w:ascii="Helvetica" w:hAnsi="Helvetica" w:cs="Arial"/>
          <w:sz w:val="20"/>
          <w:szCs w:val="24"/>
          <w:lang w:val="lt-LT"/>
        </w:rPr>
        <w:t>įvedamas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viena arba dviem dozėmis; </w:t>
      </w:r>
      <w:r w:rsidR="00B05EDE" w:rsidRPr="00997315">
        <w:rPr>
          <w:rFonts w:ascii="Helvetica" w:hAnsi="Helvetica" w:cs="Arial"/>
          <w:sz w:val="20"/>
          <w:szCs w:val="24"/>
          <w:lang w:val="lt-LT"/>
        </w:rPr>
        <w:t>pageidautina</w:t>
      </w:r>
      <w:r w:rsidRPr="00997315">
        <w:rPr>
          <w:rFonts w:ascii="Helvetica" w:hAnsi="Helvetica" w:cs="Arial"/>
          <w:sz w:val="20"/>
          <w:szCs w:val="24"/>
          <w:lang w:val="lt-LT"/>
        </w:rPr>
        <w:t>, k</w:t>
      </w:r>
      <w:r w:rsidR="00CE7EE3" w:rsidRPr="00997315">
        <w:rPr>
          <w:rFonts w:ascii="Helvetica" w:hAnsi="Helvetica" w:cs="Arial"/>
          <w:sz w:val="20"/>
          <w:szCs w:val="24"/>
          <w:lang w:val="lt-LT"/>
        </w:rPr>
        <w:t>ur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deutetrabenazino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E7EE3" w:rsidRPr="00997315">
        <w:rPr>
          <w:rFonts w:ascii="Helvetica" w:hAnsi="Helvetica" w:cs="Arial"/>
          <w:sz w:val="20"/>
          <w:szCs w:val="24"/>
          <w:lang w:val="lt-LT"/>
        </w:rPr>
        <w:t>paros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kiekis yra nuo 24-48 mg arba 36-48 mg, arba kur paros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deutetrabenazino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E7EE3" w:rsidRPr="00997315">
        <w:rPr>
          <w:rFonts w:ascii="Helvetica" w:hAnsi="Helvetica" w:cs="Arial"/>
          <w:sz w:val="20"/>
          <w:szCs w:val="24"/>
          <w:lang w:val="lt-LT"/>
        </w:rPr>
        <w:t xml:space="preserve">paros 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kiekis yra parinktas iš maždaug 6 mg, </w:t>
      </w:r>
      <w:r w:rsidR="00CE7EE3" w:rsidRPr="00997315">
        <w:rPr>
          <w:rFonts w:ascii="Helvetica" w:hAnsi="Helvetica" w:cs="Arial"/>
          <w:sz w:val="20"/>
          <w:szCs w:val="24"/>
          <w:lang w:val="lt-LT"/>
        </w:rPr>
        <w:t xml:space="preserve">maždaug 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12 mg, </w:t>
      </w:r>
      <w:r w:rsidR="00CE7EE3" w:rsidRPr="00997315">
        <w:rPr>
          <w:rFonts w:ascii="Helvetica" w:hAnsi="Helvetica" w:cs="Arial"/>
          <w:sz w:val="20"/>
          <w:szCs w:val="24"/>
          <w:lang w:val="lt-LT"/>
        </w:rPr>
        <w:t xml:space="preserve">maždaug 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18 mg, </w:t>
      </w:r>
      <w:r w:rsidR="00CE7EE3" w:rsidRPr="00997315">
        <w:rPr>
          <w:rFonts w:ascii="Helvetica" w:hAnsi="Helvetica" w:cs="Arial"/>
          <w:sz w:val="20"/>
          <w:szCs w:val="24"/>
          <w:lang w:val="lt-LT"/>
        </w:rPr>
        <w:t xml:space="preserve">maždaug 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24 mg, </w:t>
      </w:r>
      <w:r w:rsidR="00CE7EE3" w:rsidRPr="00997315">
        <w:rPr>
          <w:rFonts w:ascii="Helvetica" w:hAnsi="Helvetica" w:cs="Arial"/>
          <w:sz w:val="20"/>
          <w:szCs w:val="24"/>
          <w:lang w:val="lt-LT"/>
        </w:rPr>
        <w:t xml:space="preserve">maždaug 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30 mg, </w:t>
      </w:r>
      <w:r w:rsidR="00CE7EE3" w:rsidRPr="00997315">
        <w:rPr>
          <w:rFonts w:ascii="Helvetica" w:hAnsi="Helvetica" w:cs="Arial"/>
          <w:sz w:val="20"/>
          <w:szCs w:val="24"/>
          <w:lang w:val="lt-LT"/>
        </w:rPr>
        <w:t xml:space="preserve">maždaug 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36 mg, </w:t>
      </w:r>
      <w:r w:rsidR="00CE7EE3" w:rsidRPr="00997315">
        <w:rPr>
          <w:rFonts w:ascii="Helvetica" w:hAnsi="Helvetica" w:cs="Arial"/>
          <w:sz w:val="20"/>
          <w:szCs w:val="24"/>
          <w:lang w:val="lt-LT"/>
        </w:rPr>
        <w:t xml:space="preserve">maždaug 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42 mg ir </w:t>
      </w:r>
      <w:r w:rsidR="00CE7EE3" w:rsidRPr="00997315">
        <w:rPr>
          <w:rFonts w:ascii="Helvetica" w:hAnsi="Helvetica" w:cs="Arial"/>
          <w:sz w:val="20"/>
          <w:szCs w:val="24"/>
          <w:lang w:val="lt-LT"/>
        </w:rPr>
        <w:t xml:space="preserve">maždaug </w:t>
      </w:r>
      <w:r w:rsidRPr="00997315">
        <w:rPr>
          <w:rFonts w:ascii="Helvetica" w:hAnsi="Helvetica" w:cs="Arial"/>
          <w:sz w:val="20"/>
          <w:szCs w:val="24"/>
          <w:lang w:val="lt-LT"/>
        </w:rPr>
        <w:t>48 mg.</w:t>
      </w:r>
    </w:p>
    <w:p w14:paraId="55DA2159" w14:textId="77777777" w:rsidR="00CE7EE3" w:rsidRPr="00997315" w:rsidRDefault="00CE7EE3" w:rsidP="00997315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2D17477" w14:textId="2269E135" w:rsidR="0066556A" w:rsidRPr="00997315" w:rsidRDefault="0066556A" w:rsidP="0099731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97315">
        <w:rPr>
          <w:rFonts w:ascii="Helvetica" w:hAnsi="Helvetica" w:cs="Arial"/>
          <w:sz w:val="20"/>
          <w:szCs w:val="24"/>
          <w:lang w:val="lt-LT"/>
        </w:rPr>
        <w:t>5.</w:t>
      </w:r>
      <w:r w:rsidR="00CE7EE3" w:rsidRPr="00997315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Deutetrabenazinas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 xml:space="preserve"> arba kompozicija, apimanti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deutetrabenaziną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340BBA" w:rsidRPr="00997315">
        <w:rPr>
          <w:rFonts w:ascii="Helvetica" w:hAnsi="Helvetica" w:cs="Arial"/>
          <w:sz w:val="20"/>
          <w:szCs w:val="24"/>
          <w:lang w:val="lt-LT"/>
        </w:rPr>
        <w:t>skirti naudoti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pagal bet kurį ankstesnį punktą, kur pradinis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deutetrabenazino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E7EE3" w:rsidRPr="00997315">
        <w:rPr>
          <w:rFonts w:ascii="Helvetica" w:hAnsi="Helvetica" w:cs="Arial"/>
          <w:sz w:val="20"/>
          <w:szCs w:val="24"/>
          <w:lang w:val="lt-LT"/>
        </w:rPr>
        <w:t>paros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kiekis yra parinktas iš maždaug 6 mg, </w:t>
      </w:r>
      <w:r w:rsidR="00CE7EE3" w:rsidRPr="00997315">
        <w:rPr>
          <w:rFonts w:ascii="Helvetica" w:hAnsi="Helvetica" w:cs="Arial"/>
          <w:sz w:val="20"/>
          <w:szCs w:val="24"/>
          <w:lang w:val="lt-LT"/>
        </w:rPr>
        <w:t>maždaug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12 mg, </w:t>
      </w:r>
      <w:r w:rsidR="00CE7EE3" w:rsidRPr="00997315">
        <w:rPr>
          <w:rFonts w:ascii="Helvetica" w:hAnsi="Helvetica" w:cs="Arial"/>
          <w:sz w:val="20"/>
          <w:szCs w:val="24"/>
          <w:lang w:val="lt-LT"/>
        </w:rPr>
        <w:t>maždaug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18 mg, </w:t>
      </w:r>
      <w:r w:rsidR="00CE7EE3" w:rsidRPr="00997315">
        <w:rPr>
          <w:rFonts w:ascii="Helvetica" w:hAnsi="Helvetica" w:cs="Arial"/>
          <w:sz w:val="20"/>
          <w:szCs w:val="24"/>
          <w:lang w:val="lt-LT"/>
        </w:rPr>
        <w:t>maždaug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24 mg, </w:t>
      </w:r>
      <w:r w:rsidR="00CE7EE3" w:rsidRPr="00997315">
        <w:rPr>
          <w:rFonts w:ascii="Helvetica" w:hAnsi="Helvetica" w:cs="Arial"/>
          <w:sz w:val="20"/>
          <w:szCs w:val="24"/>
          <w:lang w:val="lt-LT"/>
        </w:rPr>
        <w:t>maždaug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30 mg, </w:t>
      </w:r>
      <w:r w:rsidR="00CE7EE3" w:rsidRPr="00997315">
        <w:rPr>
          <w:rFonts w:ascii="Helvetica" w:hAnsi="Helvetica" w:cs="Arial"/>
          <w:sz w:val="20"/>
          <w:szCs w:val="24"/>
          <w:lang w:val="lt-LT"/>
        </w:rPr>
        <w:t>maždaug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36 mg. , </w:t>
      </w:r>
      <w:r w:rsidR="00CE7EE3" w:rsidRPr="00997315">
        <w:rPr>
          <w:rFonts w:ascii="Helvetica" w:hAnsi="Helvetica" w:cs="Arial"/>
          <w:sz w:val="20"/>
          <w:szCs w:val="24"/>
          <w:lang w:val="lt-LT"/>
        </w:rPr>
        <w:t>maždaug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42 mg ir </w:t>
      </w:r>
      <w:r w:rsidR="00CE7EE3" w:rsidRPr="00997315">
        <w:rPr>
          <w:rFonts w:ascii="Helvetica" w:hAnsi="Helvetica" w:cs="Arial"/>
          <w:sz w:val="20"/>
          <w:szCs w:val="24"/>
          <w:lang w:val="lt-LT"/>
        </w:rPr>
        <w:t>maždaug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48 mg.</w:t>
      </w:r>
    </w:p>
    <w:p w14:paraId="04D85D41" w14:textId="77777777" w:rsidR="00CE7EE3" w:rsidRPr="00997315" w:rsidRDefault="00CE7EE3" w:rsidP="00997315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341BB00" w14:textId="11561393" w:rsidR="0066556A" w:rsidRPr="00997315" w:rsidRDefault="0066556A" w:rsidP="0099731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97315">
        <w:rPr>
          <w:rFonts w:ascii="Helvetica" w:hAnsi="Helvetica" w:cs="Arial"/>
          <w:sz w:val="20"/>
          <w:szCs w:val="24"/>
          <w:lang w:val="lt-LT"/>
        </w:rPr>
        <w:t>6.</w:t>
      </w:r>
      <w:r w:rsidR="00CE7EE3" w:rsidRPr="00997315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Deutetrabenazinas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 xml:space="preserve"> arba kompozicija, apimanti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deutetrabenaziną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340BBA" w:rsidRPr="00997315">
        <w:rPr>
          <w:rFonts w:ascii="Helvetica" w:hAnsi="Helvetica" w:cs="Arial"/>
          <w:sz w:val="20"/>
          <w:szCs w:val="24"/>
          <w:lang w:val="lt-LT"/>
        </w:rPr>
        <w:t>skirti naudoti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pagal bet kurį ankstesnį punktą, kur pradinis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deutetrabenazino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E7EE3" w:rsidRPr="00997315">
        <w:rPr>
          <w:rFonts w:ascii="Helvetica" w:hAnsi="Helvetica" w:cs="Arial"/>
          <w:sz w:val="20"/>
          <w:szCs w:val="24"/>
          <w:lang w:val="lt-LT"/>
        </w:rPr>
        <w:t>paros kiekis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="00323840" w:rsidRPr="00997315">
        <w:rPr>
          <w:rFonts w:ascii="Helvetica" w:hAnsi="Helvetica" w:cs="Arial"/>
          <w:sz w:val="20"/>
          <w:szCs w:val="24"/>
          <w:lang w:val="lt-LT"/>
        </w:rPr>
        <w:t>įvedamas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F00B6D" w:rsidRPr="00997315">
        <w:rPr>
          <w:rFonts w:ascii="Helvetica" w:hAnsi="Helvetica" w:cs="Arial"/>
          <w:sz w:val="20"/>
          <w:szCs w:val="24"/>
          <w:lang w:val="lt-LT"/>
        </w:rPr>
        <w:t>dviem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dozėmis, susidedančiomis iš pirmosios dozės ir antrosios dozės; kur:</w:t>
      </w:r>
    </w:p>
    <w:p w14:paraId="1BAFCD0A" w14:textId="73DAC148" w:rsidR="0066556A" w:rsidRPr="00997315" w:rsidRDefault="0066556A" w:rsidP="00997315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97315">
        <w:rPr>
          <w:rFonts w:ascii="Helvetica" w:hAnsi="Helvetica" w:cs="Arial"/>
          <w:sz w:val="20"/>
          <w:szCs w:val="24"/>
          <w:lang w:val="lt-LT"/>
        </w:rPr>
        <w:t xml:space="preserve">pirmoji dozė yra </w:t>
      </w:r>
      <w:r w:rsidR="00CE7EE3" w:rsidRPr="00997315">
        <w:rPr>
          <w:rFonts w:ascii="Helvetica" w:hAnsi="Helvetica" w:cs="Arial"/>
          <w:sz w:val="20"/>
          <w:szCs w:val="24"/>
          <w:lang w:val="lt-LT"/>
        </w:rPr>
        <w:t>maždaug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6 mg,</w:t>
      </w:r>
      <w:r w:rsidR="00854968" w:rsidRPr="00997315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antroji dozė yra </w:t>
      </w:r>
      <w:r w:rsidR="00CE7EE3" w:rsidRPr="00997315">
        <w:rPr>
          <w:rFonts w:ascii="Helvetica" w:hAnsi="Helvetica" w:cs="Arial"/>
          <w:sz w:val="20"/>
          <w:szCs w:val="24"/>
          <w:lang w:val="lt-LT"/>
        </w:rPr>
        <w:t>maždaug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6 mg;</w:t>
      </w:r>
    </w:p>
    <w:p w14:paraId="4259AA89" w14:textId="70588D69" w:rsidR="0066556A" w:rsidRPr="00997315" w:rsidRDefault="0066556A" w:rsidP="00997315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97315">
        <w:rPr>
          <w:rFonts w:ascii="Helvetica" w:hAnsi="Helvetica" w:cs="Arial"/>
          <w:sz w:val="20"/>
          <w:szCs w:val="24"/>
          <w:lang w:val="lt-LT"/>
        </w:rPr>
        <w:t xml:space="preserve">pirmoji dozė yra </w:t>
      </w:r>
      <w:r w:rsidR="00CE7EE3" w:rsidRPr="00997315">
        <w:rPr>
          <w:rFonts w:ascii="Helvetica" w:hAnsi="Helvetica" w:cs="Arial"/>
          <w:sz w:val="20"/>
          <w:szCs w:val="24"/>
          <w:lang w:val="lt-LT"/>
        </w:rPr>
        <w:t>maždaug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9 mg,</w:t>
      </w:r>
      <w:r w:rsidR="00854968" w:rsidRPr="00997315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antroji dozė yra </w:t>
      </w:r>
      <w:r w:rsidR="00CE7EE3" w:rsidRPr="00997315">
        <w:rPr>
          <w:rFonts w:ascii="Helvetica" w:hAnsi="Helvetica" w:cs="Arial"/>
          <w:sz w:val="20"/>
          <w:szCs w:val="24"/>
          <w:lang w:val="lt-LT"/>
        </w:rPr>
        <w:t>maždaug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9 mg;</w:t>
      </w:r>
    </w:p>
    <w:p w14:paraId="04F02290" w14:textId="7C637F14" w:rsidR="0066556A" w:rsidRPr="00997315" w:rsidRDefault="0066556A" w:rsidP="00997315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97315">
        <w:rPr>
          <w:rFonts w:ascii="Helvetica" w:hAnsi="Helvetica" w:cs="Arial"/>
          <w:sz w:val="20"/>
          <w:szCs w:val="24"/>
          <w:lang w:val="lt-LT"/>
        </w:rPr>
        <w:t xml:space="preserve">pirmoji dozė yra </w:t>
      </w:r>
      <w:r w:rsidR="00CE7EE3" w:rsidRPr="00997315">
        <w:rPr>
          <w:rFonts w:ascii="Helvetica" w:hAnsi="Helvetica" w:cs="Arial"/>
          <w:sz w:val="20"/>
          <w:szCs w:val="24"/>
          <w:lang w:val="lt-LT"/>
        </w:rPr>
        <w:t>maždaug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12 mg,</w:t>
      </w:r>
      <w:r w:rsidR="00854968" w:rsidRPr="00997315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antroji dozė yra </w:t>
      </w:r>
      <w:r w:rsidR="00CE7EE3" w:rsidRPr="00997315">
        <w:rPr>
          <w:rFonts w:ascii="Helvetica" w:hAnsi="Helvetica" w:cs="Arial"/>
          <w:sz w:val="20"/>
          <w:szCs w:val="24"/>
          <w:lang w:val="lt-LT"/>
        </w:rPr>
        <w:t>maždaug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12 mg;</w:t>
      </w:r>
    </w:p>
    <w:p w14:paraId="0B6AAB28" w14:textId="3081BDB8" w:rsidR="0066556A" w:rsidRPr="00997315" w:rsidRDefault="0066556A" w:rsidP="00997315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97315">
        <w:rPr>
          <w:rFonts w:ascii="Helvetica" w:hAnsi="Helvetica" w:cs="Arial"/>
          <w:sz w:val="20"/>
          <w:szCs w:val="24"/>
          <w:lang w:val="lt-LT"/>
        </w:rPr>
        <w:t xml:space="preserve">pirmoji dozė yra </w:t>
      </w:r>
      <w:r w:rsidR="00CE7EE3" w:rsidRPr="00997315">
        <w:rPr>
          <w:rFonts w:ascii="Helvetica" w:hAnsi="Helvetica" w:cs="Arial"/>
          <w:sz w:val="20"/>
          <w:szCs w:val="24"/>
          <w:lang w:val="lt-LT"/>
        </w:rPr>
        <w:t>maždaug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15 mg,</w:t>
      </w:r>
      <w:r w:rsidR="00854968" w:rsidRPr="00997315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antroji dozė yra </w:t>
      </w:r>
      <w:r w:rsidR="00CE7EE3" w:rsidRPr="00997315">
        <w:rPr>
          <w:rFonts w:ascii="Helvetica" w:hAnsi="Helvetica" w:cs="Arial"/>
          <w:sz w:val="20"/>
          <w:szCs w:val="24"/>
          <w:lang w:val="lt-LT"/>
        </w:rPr>
        <w:t>maždaug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15 mg;</w:t>
      </w:r>
    </w:p>
    <w:p w14:paraId="1634E3E4" w14:textId="5636FAEF" w:rsidR="0066556A" w:rsidRPr="00997315" w:rsidRDefault="0066556A" w:rsidP="00997315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97315">
        <w:rPr>
          <w:rFonts w:ascii="Helvetica" w:hAnsi="Helvetica" w:cs="Arial"/>
          <w:sz w:val="20"/>
          <w:szCs w:val="24"/>
          <w:lang w:val="lt-LT"/>
        </w:rPr>
        <w:t xml:space="preserve">pirmoji dozė yra </w:t>
      </w:r>
      <w:r w:rsidR="00CE7EE3" w:rsidRPr="00997315">
        <w:rPr>
          <w:rFonts w:ascii="Helvetica" w:hAnsi="Helvetica" w:cs="Arial"/>
          <w:sz w:val="20"/>
          <w:szCs w:val="24"/>
          <w:lang w:val="lt-LT"/>
        </w:rPr>
        <w:t>maždaug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18 mg,</w:t>
      </w:r>
      <w:r w:rsidR="00854968" w:rsidRPr="00997315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antroji dozė yra </w:t>
      </w:r>
      <w:r w:rsidR="00CE7EE3" w:rsidRPr="00997315">
        <w:rPr>
          <w:rFonts w:ascii="Helvetica" w:hAnsi="Helvetica" w:cs="Arial"/>
          <w:sz w:val="20"/>
          <w:szCs w:val="24"/>
          <w:lang w:val="lt-LT"/>
        </w:rPr>
        <w:t>maždaug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18 mg;</w:t>
      </w:r>
    </w:p>
    <w:p w14:paraId="06176AD0" w14:textId="017926B2" w:rsidR="0066556A" w:rsidRPr="00997315" w:rsidRDefault="0066556A" w:rsidP="00997315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97315">
        <w:rPr>
          <w:rFonts w:ascii="Helvetica" w:hAnsi="Helvetica" w:cs="Arial"/>
          <w:sz w:val="20"/>
          <w:szCs w:val="24"/>
          <w:lang w:val="lt-LT"/>
        </w:rPr>
        <w:t xml:space="preserve">pirmoji dozė yra </w:t>
      </w:r>
      <w:r w:rsidR="00CE7EE3" w:rsidRPr="00997315">
        <w:rPr>
          <w:rFonts w:ascii="Helvetica" w:hAnsi="Helvetica" w:cs="Arial"/>
          <w:sz w:val="20"/>
          <w:szCs w:val="24"/>
          <w:lang w:val="lt-LT"/>
        </w:rPr>
        <w:t>maždaug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21 mg,</w:t>
      </w:r>
      <w:r w:rsidR="00854968" w:rsidRPr="00997315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antroji dozė yra </w:t>
      </w:r>
      <w:r w:rsidR="00CE7EE3" w:rsidRPr="00997315">
        <w:rPr>
          <w:rFonts w:ascii="Helvetica" w:hAnsi="Helvetica" w:cs="Arial"/>
          <w:sz w:val="20"/>
          <w:szCs w:val="24"/>
          <w:lang w:val="lt-LT"/>
        </w:rPr>
        <w:t>maždaug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21 mg; arba</w:t>
      </w:r>
    </w:p>
    <w:p w14:paraId="4B695DE4" w14:textId="41DE82FF" w:rsidR="0066556A" w:rsidRPr="00997315" w:rsidRDefault="0066556A" w:rsidP="00997315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97315">
        <w:rPr>
          <w:rFonts w:ascii="Helvetica" w:hAnsi="Helvetica" w:cs="Arial"/>
          <w:sz w:val="20"/>
          <w:szCs w:val="24"/>
          <w:lang w:val="lt-LT"/>
        </w:rPr>
        <w:t xml:space="preserve">pirmoji dozė yra </w:t>
      </w:r>
      <w:r w:rsidR="00CE7EE3" w:rsidRPr="00997315">
        <w:rPr>
          <w:rFonts w:ascii="Helvetica" w:hAnsi="Helvetica" w:cs="Arial"/>
          <w:sz w:val="20"/>
          <w:szCs w:val="24"/>
          <w:lang w:val="lt-LT"/>
        </w:rPr>
        <w:t>maždaug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24 mg,</w:t>
      </w:r>
      <w:r w:rsidR="00854968" w:rsidRPr="00997315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antroji dozė yra </w:t>
      </w:r>
      <w:r w:rsidR="00CE7EE3" w:rsidRPr="00997315">
        <w:rPr>
          <w:rFonts w:ascii="Helvetica" w:hAnsi="Helvetica" w:cs="Arial"/>
          <w:sz w:val="20"/>
          <w:szCs w:val="24"/>
          <w:lang w:val="lt-LT"/>
        </w:rPr>
        <w:t>maždaug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24 mg.</w:t>
      </w:r>
    </w:p>
    <w:p w14:paraId="67E66936" w14:textId="77777777" w:rsidR="00854968" w:rsidRPr="00997315" w:rsidRDefault="00854968" w:rsidP="00997315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BC4C848" w14:textId="74C1BDDF" w:rsidR="0066556A" w:rsidRPr="00997315" w:rsidRDefault="0066556A" w:rsidP="0099731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97315">
        <w:rPr>
          <w:rFonts w:ascii="Helvetica" w:hAnsi="Helvetica" w:cs="Arial"/>
          <w:sz w:val="20"/>
          <w:szCs w:val="24"/>
          <w:lang w:val="lt-LT"/>
        </w:rPr>
        <w:t>7.</w:t>
      </w:r>
      <w:r w:rsidR="00854968" w:rsidRPr="00997315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Deutetrabenazinas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 xml:space="preserve"> arba kompozicija, apimanti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deutetrabenaziną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340BBA" w:rsidRPr="00997315">
        <w:rPr>
          <w:rFonts w:ascii="Helvetica" w:hAnsi="Helvetica" w:cs="Arial"/>
          <w:sz w:val="20"/>
          <w:szCs w:val="24"/>
          <w:lang w:val="lt-LT"/>
        </w:rPr>
        <w:t>skirti naudoti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pagal bet kurį ankstesnį punktą, kur</w:t>
      </w:r>
      <w:r w:rsidR="008213FB" w:rsidRPr="00997315">
        <w:rPr>
          <w:rFonts w:ascii="Helvetica" w:hAnsi="Helvetica" w:cs="Arial"/>
          <w:sz w:val="20"/>
          <w:szCs w:val="24"/>
          <w:lang w:val="lt-LT"/>
        </w:rPr>
        <w:t xml:space="preserve"> įvedamo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deutetrabenazino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E7EE3" w:rsidRPr="00997315">
        <w:rPr>
          <w:rFonts w:ascii="Helvetica" w:hAnsi="Helvetica" w:cs="Arial"/>
          <w:sz w:val="20"/>
          <w:szCs w:val="24"/>
          <w:lang w:val="lt-LT"/>
        </w:rPr>
        <w:t>paros kiekis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yra mažesnis arba lygus maždaug 48 mg</w:t>
      </w:r>
      <w:r w:rsidR="008213FB" w:rsidRPr="00997315">
        <w:rPr>
          <w:rFonts w:ascii="Helvetica" w:hAnsi="Helvetica" w:cs="Arial"/>
          <w:sz w:val="20"/>
          <w:szCs w:val="24"/>
          <w:lang w:val="lt-LT"/>
        </w:rPr>
        <w:t>,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arba mažesnis arba lygus maždaug 36 mg subjektui, tuo pat metu </w:t>
      </w:r>
      <w:r w:rsidR="008213FB" w:rsidRPr="00997315">
        <w:rPr>
          <w:rFonts w:ascii="Helvetica" w:hAnsi="Helvetica" w:cs="Arial"/>
          <w:sz w:val="20"/>
          <w:szCs w:val="24"/>
          <w:lang w:val="lt-LT"/>
        </w:rPr>
        <w:t>vartoj</w:t>
      </w:r>
      <w:r w:rsidRPr="00997315">
        <w:rPr>
          <w:rFonts w:ascii="Helvetica" w:hAnsi="Helvetica" w:cs="Arial"/>
          <w:sz w:val="20"/>
          <w:szCs w:val="24"/>
          <w:lang w:val="lt-LT"/>
        </w:rPr>
        <w:t>ančiam stipr</w:t>
      </w:r>
      <w:r w:rsidR="008213FB" w:rsidRPr="00997315">
        <w:rPr>
          <w:rFonts w:ascii="Helvetica" w:hAnsi="Helvetica" w:cs="Arial"/>
          <w:sz w:val="20"/>
          <w:szCs w:val="24"/>
          <w:lang w:val="lt-LT"/>
        </w:rPr>
        <w:t>ų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CYP2D6 inhibitori</w:t>
      </w:r>
      <w:r w:rsidR="008213FB" w:rsidRPr="00997315">
        <w:rPr>
          <w:rFonts w:ascii="Helvetica" w:hAnsi="Helvetica" w:cs="Arial"/>
          <w:sz w:val="20"/>
          <w:szCs w:val="24"/>
          <w:lang w:val="lt-LT"/>
        </w:rPr>
        <w:t>ų</w:t>
      </w:r>
      <w:r w:rsidRPr="00997315">
        <w:rPr>
          <w:rFonts w:ascii="Helvetica" w:hAnsi="Helvetica" w:cs="Arial"/>
          <w:sz w:val="20"/>
          <w:szCs w:val="24"/>
          <w:lang w:val="lt-LT"/>
        </w:rPr>
        <w:t>.</w:t>
      </w:r>
    </w:p>
    <w:p w14:paraId="79FD270B" w14:textId="77777777" w:rsidR="008213FB" w:rsidRPr="00997315" w:rsidRDefault="008213FB" w:rsidP="00997315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8C01BBC" w14:textId="15E4DA74" w:rsidR="0066556A" w:rsidRPr="00997315" w:rsidRDefault="0066556A" w:rsidP="0099731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97315">
        <w:rPr>
          <w:rFonts w:ascii="Helvetica" w:hAnsi="Helvetica" w:cs="Arial"/>
          <w:sz w:val="20"/>
          <w:szCs w:val="24"/>
          <w:lang w:val="lt-LT"/>
        </w:rPr>
        <w:t>8.</w:t>
      </w:r>
      <w:r w:rsidR="008213FB" w:rsidRPr="00997315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Deutetrabenazinas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 xml:space="preserve"> arba kompozicija, apimanti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deutetrabenaziną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340BBA" w:rsidRPr="00997315">
        <w:rPr>
          <w:rFonts w:ascii="Helvetica" w:hAnsi="Helvetica" w:cs="Arial"/>
          <w:sz w:val="20"/>
          <w:szCs w:val="24"/>
          <w:lang w:val="lt-LT"/>
        </w:rPr>
        <w:t>skirti naudoti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pagal bet kurį ankstesnį punktą, kur nenormal</w:t>
      </w:r>
      <w:r w:rsidR="009B114E" w:rsidRPr="00997315">
        <w:rPr>
          <w:rFonts w:ascii="Helvetica" w:hAnsi="Helvetica" w:cs="Arial"/>
          <w:sz w:val="20"/>
          <w:szCs w:val="24"/>
          <w:lang w:val="lt-LT"/>
        </w:rPr>
        <w:t>u</w:t>
      </w:r>
      <w:r w:rsidRPr="00997315">
        <w:rPr>
          <w:rFonts w:ascii="Helvetica" w:hAnsi="Helvetica" w:cs="Arial"/>
          <w:sz w:val="20"/>
          <w:szCs w:val="24"/>
          <w:lang w:val="lt-LT"/>
        </w:rPr>
        <w:t>s nevaling</w:t>
      </w:r>
      <w:r w:rsidR="009B114E" w:rsidRPr="00997315">
        <w:rPr>
          <w:rFonts w:ascii="Helvetica" w:hAnsi="Helvetica" w:cs="Arial"/>
          <w:sz w:val="20"/>
          <w:szCs w:val="24"/>
          <w:lang w:val="lt-LT"/>
        </w:rPr>
        <w:t>as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9B114E" w:rsidRPr="00997315">
        <w:rPr>
          <w:rFonts w:ascii="Helvetica" w:hAnsi="Helvetica" w:cs="Arial"/>
          <w:sz w:val="20"/>
          <w:szCs w:val="24"/>
          <w:lang w:val="lt-LT"/>
        </w:rPr>
        <w:t>judėjimas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yra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chorėja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 xml:space="preserve">, susijusi su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Hantingtono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 xml:space="preserve"> liga</w:t>
      </w:r>
      <w:r w:rsidR="008213FB" w:rsidRPr="00997315">
        <w:rPr>
          <w:rFonts w:ascii="Helvetica" w:hAnsi="Helvetica" w:cs="Arial"/>
          <w:sz w:val="20"/>
          <w:szCs w:val="24"/>
          <w:lang w:val="lt-LT"/>
        </w:rPr>
        <w:t>,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ir kur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chorėja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 xml:space="preserve"> yra sumažinta </w:t>
      </w:r>
      <w:r w:rsidR="001656FC" w:rsidRPr="00997315">
        <w:rPr>
          <w:rFonts w:ascii="Helvetica" w:hAnsi="Helvetica" w:cs="Arial"/>
          <w:sz w:val="20"/>
          <w:szCs w:val="24"/>
          <w:lang w:val="lt-LT"/>
        </w:rPr>
        <w:t>bent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0,5 balo, </w:t>
      </w:r>
      <w:r w:rsidR="008213FB" w:rsidRPr="00997315">
        <w:rPr>
          <w:rFonts w:ascii="Helvetica" w:hAnsi="Helvetica" w:cs="Arial"/>
          <w:sz w:val="20"/>
          <w:szCs w:val="24"/>
          <w:lang w:val="lt-LT"/>
        </w:rPr>
        <w:t xml:space="preserve">kaip 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išmatuota pagal </w:t>
      </w:r>
      <w:r w:rsidR="008213FB" w:rsidRPr="00997315">
        <w:rPr>
          <w:rFonts w:ascii="Helvetica" w:hAnsi="Helvetica" w:cs="Arial"/>
          <w:sz w:val="20"/>
          <w:szCs w:val="24"/>
          <w:lang w:val="lt-LT"/>
        </w:rPr>
        <w:t>v</w:t>
      </w:r>
      <w:r w:rsidRPr="00997315">
        <w:rPr>
          <w:rFonts w:ascii="Helvetica" w:hAnsi="Helvetica" w:cs="Arial"/>
          <w:sz w:val="20"/>
          <w:szCs w:val="24"/>
          <w:lang w:val="lt-LT"/>
        </w:rPr>
        <w:t>ieningo</w:t>
      </w:r>
      <w:r w:rsidR="00CE79DA" w:rsidRPr="00997315">
        <w:rPr>
          <w:rFonts w:ascii="Helvetica" w:hAnsi="Helvetica" w:cs="Arial"/>
          <w:sz w:val="20"/>
          <w:szCs w:val="24"/>
          <w:lang w:val="lt-LT"/>
        </w:rPr>
        <w:t>s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Hantingtono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 xml:space="preserve"> ligos vertinimo skal</w:t>
      </w:r>
      <w:r w:rsidR="00CE79DA" w:rsidRPr="00997315">
        <w:rPr>
          <w:rFonts w:ascii="Helvetica" w:hAnsi="Helvetica" w:cs="Arial"/>
          <w:sz w:val="20"/>
          <w:szCs w:val="24"/>
          <w:lang w:val="lt-LT"/>
        </w:rPr>
        <w:t>ės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(UHDRS)</w:t>
      </w:r>
      <w:r w:rsidR="00CE79DA" w:rsidRPr="00997315">
        <w:rPr>
          <w:rFonts w:ascii="Helvetica" w:hAnsi="Helvetica" w:cs="Arial"/>
          <w:sz w:val="20"/>
          <w:szCs w:val="24"/>
          <w:lang w:val="lt-LT"/>
        </w:rPr>
        <w:t xml:space="preserve"> bendrosios maksimalios </w:t>
      </w:r>
      <w:proofErr w:type="spellStart"/>
      <w:r w:rsidR="00CE79DA" w:rsidRPr="00997315">
        <w:rPr>
          <w:rFonts w:ascii="Helvetica" w:hAnsi="Helvetica" w:cs="Arial"/>
          <w:sz w:val="20"/>
          <w:szCs w:val="24"/>
          <w:lang w:val="lt-LT"/>
        </w:rPr>
        <w:t>chorėjos</w:t>
      </w:r>
      <w:proofErr w:type="spellEnd"/>
      <w:r w:rsidR="00CE79DA" w:rsidRPr="00997315">
        <w:rPr>
          <w:rFonts w:ascii="Helvetica" w:hAnsi="Helvetica" w:cs="Arial"/>
          <w:sz w:val="20"/>
          <w:szCs w:val="24"/>
          <w:lang w:val="lt-LT"/>
        </w:rPr>
        <w:t xml:space="preserve"> (TMC) balą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; pageidautina, kad TMC balo sumažinimas būtų </w:t>
      </w:r>
      <w:r w:rsidR="00CE79DA" w:rsidRPr="00997315">
        <w:rPr>
          <w:rFonts w:ascii="Helvetica" w:hAnsi="Helvetica" w:cs="Arial"/>
          <w:sz w:val="20"/>
          <w:szCs w:val="24"/>
          <w:lang w:val="lt-LT"/>
        </w:rPr>
        <w:t xml:space="preserve">lygus </w:t>
      </w:r>
      <w:r w:rsidRPr="00997315">
        <w:rPr>
          <w:rFonts w:ascii="Helvetica" w:hAnsi="Helvetica" w:cs="Arial"/>
          <w:sz w:val="20"/>
          <w:szCs w:val="24"/>
          <w:lang w:val="lt-LT"/>
        </w:rPr>
        <w:t>bent 1 bal</w:t>
      </w:r>
      <w:r w:rsidR="00CE79DA" w:rsidRPr="00997315">
        <w:rPr>
          <w:rFonts w:ascii="Helvetica" w:hAnsi="Helvetica" w:cs="Arial"/>
          <w:sz w:val="20"/>
          <w:szCs w:val="24"/>
          <w:lang w:val="lt-LT"/>
        </w:rPr>
        <w:t>ui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; </w:t>
      </w:r>
      <w:r w:rsidR="00F00B6D" w:rsidRPr="00997315">
        <w:rPr>
          <w:rFonts w:ascii="Helvetica" w:hAnsi="Helvetica" w:cs="Arial"/>
          <w:sz w:val="20"/>
          <w:szCs w:val="24"/>
          <w:lang w:val="lt-LT"/>
        </w:rPr>
        <w:t>bent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1,5 balo; </w:t>
      </w:r>
      <w:r w:rsidR="00F00B6D" w:rsidRPr="00997315">
        <w:rPr>
          <w:rFonts w:ascii="Helvetica" w:hAnsi="Helvetica" w:cs="Arial"/>
          <w:sz w:val="20"/>
          <w:szCs w:val="24"/>
          <w:lang w:val="lt-LT"/>
        </w:rPr>
        <w:t>bent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2 bala</w:t>
      </w:r>
      <w:r w:rsidR="00CE79DA" w:rsidRPr="00997315">
        <w:rPr>
          <w:rFonts w:ascii="Helvetica" w:hAnsi="Helvetica" w:cs="Arial"/>
          <w:sz w:val="20"/>
          <w:szCs w:val="24"/>
          <w:lang w:val="lt-LT"/>
        </w:rPr>
        <w:t>ms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; arba </w:t>
      </w:r>
      <w:r w:rsidR="001656FC" w:rsidRPr="00997315">
        <w:rPr>
          <w:rFonts w:ascii="Helvetica" w:hAnsi="Helvetica" w:cs="Arial"/>
          <w:sz w:val="20"/>
          <w:szCs w:val="24"/>
          <w:lang w:val="lt-LT"/>
        </w:rPr>
        <w:t>bent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2,5 balo, arba k</w:t>
      </w:r>
      <w:r w:rsidR="00CE79DA" w:rsidRPr="00997315">
        <w:rPr>
          <w:rFonts w:ascii="Helvetica" w:hAnsi="Helvetica" w:cs="Arial"/>
          <w:sz w:val="20"/>
          <w:szCs w:val="24"/>
          <w:lang w:val="lt-LT"/>
        </w:rPr>
        <w:t>ur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9B114E" w:rsidRPr="00997315">
        <w:rPr>
          <w:rFonts w:ascii="Helvetica" w:hAnsi="Helvetica" w:cs="Arial"/>
          <w:sz w:val="20"/>
          <w:szCs w:val="24"/>
          <w:lang w:val="lt-LT"/>
        </w:rPr>
        <w:t>nenormalus nevalingas judėjimas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yra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chorėja</w:t>
      </w:r>
      <w:proofErr w:type="spellEnd"/>
      <w:r w:rsidR="00CE79DA" w:rsidRPr="00997315">
        <w:rPr>
          <w:rFonts w:ascii="Helvetica" w:hAnsi="Helvetica" w:cs="Arial"/>
          <w:sz w:val="20"/>
          <w:szCs w:val="24"/>
          <w:lang w:val="lt-LT"/>
        </w:rPr>
        <w:t>,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ir k</w:t>
      </w:r>
      <w:r w:rsidR="00CE79DA" w:rsidRPr="00997315">
        <w:rPr>
          <w:rFonts w:ascii="Helvetica" w:hAnsi="Helvetica" w:cs="Arial"/>
          <w:sz w:val="20"/>
          <w:szCs w:val="24"/>
          <w:lang w:val="lt-LT"/>
        </w:rPr>
        <w:t>ur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chorėja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E79DA" w:rsidRPr="00997315">
        <w:rPr>
          <w:rFonts w:ascii="Helvetica" w:hAnsi="Helvetica" w:cs="Arial"/>
          <w:sz w:val="20"/>
          <w:szCs w:val="24"/>
          <w:lang w:val="lt-LT"/>
        </w:rPr>
        <w:t xml:space="preserve">yra </w:t>
      </w:r>
      <w:r w:rsidRPr="00997315">
        <w:rPr>
          <w:rFonts w:ascii="Helvetica" w:hAnsi="Helvetica" w:cs="Arial"/>
          <w:sz w:val="20"/>
          <w:szCs w:val="24"/>
          <w:lang w:val="lt-LT"/>
        </w:rPr>
        <w:t>sumaž</w:t>
      </w:r>
      <w:r w:rsidR="00CE79DA" w:rsidRPr="00997315">
        <w:rPr>
          <w:rFonts w:ascii="Helvetica" w:hAnsi="Helvetica" w:cs="Arial"/>
          <w:sz w:val="20"/>
          <w:szCs w:val="24"/>
          <w:lang w:val="lt-LT"/>
        </w:rPr>
        <w:t>inta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1656FC" w:rsidRPr="00997315">
        <w:rPr>
          <w:rFonts w:ascii="Helvetica" w:hAnsi="Helvetica" w:cs="Arial"/>
          <w:sz w:val="20"/>
          <w:szCs w:val="24"/>
          <w:lang w:val="lt-LT"/>
        </w:rPr>
        <w:t>bent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10 %; </w:t>
      </w:r>
      <w:r w:rsidR="00CE79DA" w:rsidRPr="00997315">
        <w:rPr>
          <w:rFonts w:ascii="Helvetica" w:hAnsi="Helvetica" w:cs="Arial"/>
          <w:sz w:val="20"/>
          <w:szCs w:val="24"/>
          <w:lang w:val="lt-LT"/>
        </w:rPr>
        <w:t>bent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15 %; arba bent 20 proc.</w:t>
      </w:r>
    </w:p>
    <w:p w14:paraId="43681FFA" w14:textId="77777777" w:rsidR="00CE79DA" w:rsidRPr="00997315" w:rsidRDefault="00CE79DA" w:rsidP="00997315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D0F1A97" w14:textId="1BB0BF80" w:rsidR="0066556A" w:rsidRPr="00997315" w:rsidRDefault="0066556A" w:rsidP="0099731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97315">
        <w:rPr>
          <w:rFonts w:ascii="Helvetica" w:hAnsi="Helvetica" w:cs="Arial"/>
          <w:sz w:val="20"/>
          <w:szCs w:val="24"/>
          <w:lang w:val="lt-LT"/>
        </w:rPr>
        <w:t>9.</w:t>
      </w:r>
      <w:r w:rsidR="00CE79DA" w:rsidRPr="00997315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Deutetrabenazinas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 xml:space="preserve"> arba kompozicija, apimanti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deutetrabenaziną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 xml:space="preserve">, skirti naudoti pagal bet kurį ankstesnį punktą, kur gydymas reikšmingai nekeičia </w:t>
      </w:r>
      <w:r w:rsidR="002D40DB" w:rsidRPr="00997315">
        <w:rPr>
          <w:rFonts w:ascii="Helvetica" w:hAnsi="Helvetica" w:cs="Arial"/>
          <w:sz w:val="20"/>
          <w:szCs w:val="24"/>
          <w:lang w:val="lt-LT"/>
        </w:rPr>
        <w:t xml:space="preserve">subjekto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QTcF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2D40DB" w:rsidRPr="00997315">
        <w:rPr>
          <w:rFonts w:ascii="Helvetica" w:hAnsi="Helvetica" w:cs="Arial"/>
          <w:sz w:val="20"/>
          <w:szCs w:val="24"/>
          <w:lang w:val="lt-LT"/>
        </w:rPr>
        <w:t>vertės</w:t>
      </w:r>
      <w:r w:rsidRPr="00997315">
        <w:rPr>
          <w:rFonts w:ascii="Helvetica" w:hAnsi="Helvetica" w:cs="Arial"/>
          <w:sz w:val="20"/>
          <w:szCs w:val="24"/>
          <w:lang w:val="lt-LT"/>
        </w:rPr>
        <w:t>.</w:t>
      </w:r>
    </w:p>
    <w:p w14:paraId="6CC23ED1" w14:textId="77777777" w:rsidR="002D40DB" w:rsidRPr="00997315" w:rsidRDefault="002D40DB" w:rsidP="00997315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DB188C5" w14:textId="3D4B6323" w:rsidR="0066556A" w:rsidRPr="00997315" w:rsidRDefault="0066556A" w:rsidP="0099731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97315">
        <w:rPr>
          <w:rFonts w:ascii="Helvetica" w:hAnsi="Helvetica" w:cs="Arial"/>
          <w:sz w:val="20"/>
          <w:szCs w:val="24"/>
          <w:lang w:val="lt-LT"/>
        </w:rPr>
        <w:t>10.</w:t>
      </w:r>
      <w:r w:rsidR="002D40DB" w:rsidRPr="00997315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Deutetrabenazinas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 xml:space="preserve"> arba kompozicija, apimanti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deutetrabenaziną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>, skirt</w:t>
      </w:r>
      <w:r w:rsidR="00E54C7E" w:rsidRPr="00997315">
        <w:rPr>
          <w:rFonts w:ascii="Helvetica" w:hAnsi="Helvetica" w:cs="Arial"/>
          <w:sz w:val="20"/>
          <w:szCs w:val="24"/>
          <w:lang w:val="lt-LT"/>
        </w:rPr>
        <w:t>i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64640E" w:rsidRPr="00997315">
        <w:rPr>
          <w:rFonts w:ascii="Helvetica" w:hAnsi="Helvetica" w:cs="Arial"/>
          <w:sz w:val="20"/>
          <w:szCs w:val="24"/>
          <w:lang w:val="lt-LT"/>
        </w:rPr>
        <w:t xml:space="preserve">naudoti </w:t>
      </w:r>
      <w:r w:rsidR="009B114E" w:rsidRPr="00997315">
        <w:rPr>
          <w:rFonts w:ascii="Helvetica" w:hAnsi="Helvetica" w:cs="Arial"/>
          <w:sz w:val="20"/>
          <w:szCs w:val="24"/>
          <w:lang w:val="lt-LT"/>
        </w:rPr>
        <w:t xml:space="preserve">taikant </w:t>
      </w:r>
      <w:r w:rsidRPr="00997315">
        <w:rPr>
          <w:rFonts w:ascii="Helvetica" w:hAnsi="Helvetica" w:cs="Arial"/>
          <w:sz w:val="20"/>
          <w:szCs w:val="24"/>
          <w:lang w:val="lt-LT"/>
        </w:rPr>
        <w:t>nenormal</w:t>
      </w:r>
      <w:r w:rsidR="009B114E" w:rsidRPr="00997315">
        <w:rPr>
          <w:rFonts w:ascii="Helvetica" w:hAnsi="Helvetica" w:cs="Arial"/>
          <w:sz w:val="20"/>
          <w:szCs w:val="24"/>
          <w:lang w:val="lt-LT"/>
        </w:rPr>
        <w:t>aus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nevaling</w:t>
      </w:r>
      <w:r w:rsidR="009B114E" w:rsidRPr="00997315">
        <w:rPr>
          <w:rFonts w:ascii="Helvetica" w:hAnsi="Helvetica" w:cs="Arial"/>
          <w:sz w:val="20"/>
          <w:szCs w:val="24"/>
          <w:lang w:val="lt-LT"/>
        </w:rPr>
        <w:t>o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jud</w:t>
      </w:r>
      <w:r w:rsidR="009B114E" w:rsidRPr="00997315">
        <w:rPr>
          <w:rFonts w:ascii="Helvetica" w:hAnsi="Helvetica" w:cs="Arial"/>
          <w:sz w:val="20"/>
          <w:szCs w:val="24"/>
          <w:lang w:val="lt-LT"/>
        </w:rPr>
        <w:t>ėjimo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gydy</w:t>
      </w:r>
      <w:r w:rsidR="009B114E" w:rsidRPr="00997315">
        <w:rPr>
          <w:rFonts w:ascii="Helvetica" w:hAnsi="Helvetica" w:cs="Arial"/>
          <w:sz w:val="20"/>
          <w:szCs w:val="24"/>
          <w:lang w:val="lt-LT"/>
        </w:rPr>
        <w:t>mą</w:t>
      </w:r>
      <w:r w:rsidRPr="00997315">
        <w:rPr>
          <w:rFonts w:ascii="Helvetica" w:hAnsi="Helvetica" w:cs="Arial"/>
          <w:sz w:val="20"/>
          <w:szCs w:val="24"/>
          <w:lang w:val="lt-LT"/>
        </w:rPr>
        <w:t>, subjekt</w:t>
      </w:r>
      <w:r w:rsidR="0064640E" w:rsidRPr="00997315">
        <w:rPr>
          <w:rFonts w:ascii="Helvetica" w:hAnsi="Helvetica" w:cs="Arial"/>
          <w:sz w:val="20"/>
          <w:szCs w:val="24"/>
          <w:lang w:val="lt-LT"/>
        </w:rPr>
        <w:t>ui</w:t>
      </w:r>
      <w:r w:rsidRPr="00997315">
        <w:rPr>
          <w:rFonts w:ascii="Helvetica" w:hAnsi="Helvetica" w:cs="Arial"/>
          <w:sz w:val="20"/>
          <w:szCs w:val="24"/>
          <w:lang w:val="lt-LT"/>
        </w:rPr>
        <w:t>, gaunan</w:t>
      </w:r>
      <w:r w:rsidR="0064640E" w:rsidRPr="00997315">
        <w:rPr>
          <w:rFonts w:ascii="Helvetica" w:hAnsi="Helvetica" w:cs="Arial"/>
          <w:sz w:val="20"/>
          <w:szCs w:val="24"/>
          <w:lang w:val="lt-LT"/>
        </w:rPr>
        <w:t>čiam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esamą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tetrabenazino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64640E" w:rsidRPr="00997315">
        <w:rPr>
          <w:rFonts w:ascii="Helvetica" w:hAnsi="Helvetica" w:cs="Arial"/>
          <w:sz w:val="20"/>
          <w:szCs w:val="24"/>
          <w:lang w:val="lt-LT"/>
        </w:rPr>
        <w:t>paros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kiekį</w:t>
      </w:r>
      <w:r w:rsidR="0064640E" w:rsidRPr="00997315">
        <w:rPr>
          <w:rFonts w:ascii="Helvetica" w:hAnsi="Helvetica" w:cs="Arial"/>
          <w:sz w:val="20"/>
          <w:szCs w:val="24"/>
          <w:lang w:val="lt-LT"/>
        </w:rPr>
        <w:t xml:space="preserve"> tam</w:t>
      </w:r>
      <w:r w:rsidRPr="00997315">
        <w:rPr>
          <w:rFonts w:ascii="Helvetica" w:hAnsi="Helvetica" w:cs="Arial"/>
          <w:sz w:val="20"/>
          <w:szCs w:val="24"/>
          <w:lang w:val="lt-LT"/>
        </w:rPr>
        <w:t>, kad būtų galima kontroliuoti nenormal</w:t>
      </w:r>
      <w:r w:rsidR="009B114E" w:rsidRPr="00997315">
        <w:rPr>
          <w:rFonts w:ascii="Helvetica" w:hAnsi="Helvetica" w:cs="Arial"/>
          <w:sz w:val="20"/>
          <w:szCs w:val="24"/>
          <w:lang w:val="lt-LT"/>
        </w:rPr>
        <w:t>ų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nevaling</w:t>
      </w:r>
      <w:r w:rsidR="009B114E" w:rsidRPr="00997315">
        <w:rPr>
          <w:rFonts w:ascii="Helvetica" w:hAnsi="Helvetica" w:cs="Arial"/>
          <w:sz w:val="20"/>
          <w:szCs w:val="24"/>
          <w:lang w:val="lt-LT"/>
        </w:rPr>
        <w:t>ą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jud</w:t>
      </w:r>
      <w:r w:rsidR="009B114E" w:rsidRPr="00997315">
        <w:rPr>
          <w:rFonts w:ascii="Helvetica" w:hAnsi="Helvetica" w:cs="Arial"/>
          <w:sz w:val="20"/>
          <w:szCs w:val="24"/>
          <w:lang w:val="lt-LT"/>
        </w:rPr>
        <w:t>ėjimą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64640E" w:rsidRPr="00997315">
        <w:rPr>
          <w:rFonts w:ascii="Helvetica" w:hAnsi="Helvetica" w:cs="Arial"/>
          <w:sz w:val="20"/>
          <w:szCs w:val="24"/>
          <w:lang w:val="lt-LT"/>
        </w:rPr>
        <w:t xml:space="preserve">pereinant 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nuo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tetrabenazino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 xml:space="preserve"> prie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deutetrabenazino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>, apimanti:</w:t>
      </w:r>
    </w:p>
    <w:p w14:paraId="6ED893A1" w14:textId="16D29EA0" w:rsidR="0066556A" w:rsidRPr="00997315" w:rsidRDefault="0066556A" w:rsidP="00997315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97315">
        <w:rPr>
          <w:rFonts w:ascii="Helvetica" w:hAnsi="Helvetica" w:cs="Arial"/>
          <w:sz w:val="20"/>
          <w:szCs w:val="24"/>
          <w:lang w:val="lt-LT"/>
        </w:rPr>
        <w:t xml:space="preserve">a) </w:t>
      </w:r>
      <w:r w:rsidR="00131199" w:rsidRPr="00997315">
        <w:rPr>
          <w:rFonts w:ascii="Helvetica" w:hAnsi="Helvetica" w:cs="Arial"/>
          <w:sz w:val="20"/>
          <w:szCs w:val="24"/>
          <w:lang w:val="lt-LT"/>
        </w:rPr>
        <w:t>nepertraukiamą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tetrabenazino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 xml:space="preserve"> paros dozę;</w:t>
      </w:r>
    </w:p>
    <w:p w14:paraId="05A46BD2" w14:textId="0DBA5249" w:rsidR="0066556A" w:rsidRPr="00997315" w:rsidRDefault="0066556A" w:rsidP="00997315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97315">
        <w:rPr>
          <w:rFonts w:ascii="Helvetica" w:hAnsi="Helvetica" w:cs="Arial"/>
          <w:sz w:val="20"/>
          <w:szCs w:val="24"/>
          <w:lang w:val="lt-LT"/>
        </w:rPr>
        <w:t>b) kitą dieną įved</w:t>
      </w:r>
      <w:r w:rsidR="00131199" w:rsidRPr="00997315">
        <w:rPr>
          <w:rFonts w:ascii="Helvetica" w:hAnsi="Helvetica" w:cs="Arial"/>
          <w:sz w:val="20"/>
          <w:szCs w:val="24"/>
          <w:lang w:val="lt-LT"/>
        </w:rPr>
        <w:t>imą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subjektui pradin</w:t>
      </w:r>
      <w:r w:rsidR="00E54C7E" w:rsidRPr="00997315">
        <w:rPr>
          <w:rFonts w:ascii="Helvetica" w:hAnsi="Helvetica" w:cs="Arial"/>
          <w:sz w:val="20"/>
          <w:szCs w:val="24"/>
          <w:lang w:val="lt-LT"/>
        </w:rPr>
        <w:t>io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paros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deutetrabenazino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 xml:space="preserve"> kiek</w:t>
      </w:r>
      <w:r w:rsidR="00E54C7E" w:rsidRPr="00997315">
        <w:rPr>
          <w:rFonts w:ascii="Helvetica" w:hAnsi="Helvetica" w:cs="Arial"/>
          <w:sz w:val="20"/>
          <w:szCs w:val="24"/>
          <w:lang w:val="lt-LT"/>
        </w:rPr>
        <w:t>io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, kuris </w:t>
      </w:r>
      <w:r w:rsidR="00131199" w:rsidRPr="00997315">
        <w:rPr>
          <w:rFonts w:ascii="Helvetica" w:hAnsi="Helvetica" w:cs="Arial"/>
          <w:sz w:val="20"/>
          <w:szCs w:val="24"/>
          <w:lang w:val="lt-LT"/>
        </w:rPr>
        <w:t>sudaro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nuo maždaug 30</w:t>
      </w:r>
      <w:r w:rsidR="00131199" w:rsidRPr="00997315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97315">
        <w:rPr>
          <w:rFonts w:ascii="Helvetica" w:hAnsi="Helvetica" w:cs="Arial"/>
          <w:sz w:val="20"/>
          <w:szCs w:val="24"/>
          <w:lang w:val="lt-LT"/>
        </w:rPr>
        <w:t>% iki maždaug 70</w:t>
      </w:r>
      <w:r w:rsidR="00131199" w:rsidRPr="00997315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% esamo bendro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tetrabenazino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 xml:space="preserve"> paros kiekio</w:t>
      </w:r>
      <w:r w:rsidR="00131199" w:rsidRPr="00997315">
        <w:rPr>
          <w:rFonts w:ascii="Helvetica" w:hAnsi="Helvetica" w:cs="Arial"/>
          <w:sz w:val="20"/>
          <w:szCs w:val="24"/>
          <w:lang w:val="lt-LT"/>
        </w:rPr>
        <w:t>,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="00131199" w:rsidRPr="00997315">
        <w:rPr>
          <w:rFonts w:ascii="Helvetica" w:hAnsi="Helvetica" w:cs="Arial"/>
          <w:sz w:val="20"/>
          <w:szCs w:val="24"/>
          <w:lang w:val="lt-LT"/>
        </w:rPr>
        <w:t>sudaro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1656FC" w:rsidRPr="00997315">
        <w:rPr>
          <w:rFonts w:ascii="Helvetica" w:hAnsi="Helvetica" w:cs="Arial"/>
          <w:sz w:val="20"/>
          <w:szCs w:val="24"/>
          <w:lang w:val="lt-LT"/>
        </w:rPr>
        <w:t>bent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E7EE3" w:rsidRPr="00997315">
        <w:rPr>
          <w:rFonts w:ascii="Helvetica" w:hAnsi="Helvetica" w:cs="Arial"/>
          <w:sz w:val="20"/>
          <w:szCs w:val="24"/>
          <w:lang w:val="lt-LT"/>
        </w:rPr>
        <w:t>maždaug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6 mg per </w:t>
      </w:r>
      <w:r w:rsidR="00E54C7E" w:rsidRPr="00997315">
        <w:rPr>
          <w:rFonts w:ascii="Helvetica" w:hAnsi="Helvetica" w:cs="Arial"/>
          <w:sz w:val="20"/>
          <w:szCs w:val="24"/>
          <w:lang w:val="lt-LT"/>
        </w:rPr>
        <w:t>parą</w:t>
      </w:r>
      <w:r w:rsidRPr="00997315">
        <w:rPr>
          <w:rFonts w:ascii="Helvetica" w:hAnsi="Helvetica" w:cs="Arial"/>
          <w:sz w:val="20"/>
          <w:szCs w:val="24"/>
          <w:lang w:val="lt-LT"/>
        </w:rPr>
        <w:t>;</w:t>
      </w:r>
    </w:p>
    <w:p w14:paraId="0FC91329" w14:textId="6ED2BF8B" w:rsidR="0066556A" w:rsidRPr="00997315" w:rsidRDefault="0066556A" w:rsidP="00997315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97315">
        <w:rPr>
          <w:rFonts w:ascii="Helvetica" w:hAnsi="Helvetica" w:cs="Arial"/>
          <w:sz w:val="20"/>
          <w:szCs w:val="24"/>
          <w:lang w:val="lt-LT"/>
        </w:rPr>
        <w:t xml:space="preserve">c) maždaug po savaitės </w:t>
      </w:r>
      <w:r w:rsidR="00131199" w:rsidRPr="00997315">
        <w:rPr>
          <w:rFonts w:ascii="Helvetica" w:hAnsi="Helvetica" w:cs="Arial"/>
          <w:sz w:val="20"/>
          <w:szCs w:val="24"/>
          <w:lang w:val="lt-LT"/>
        </w:rPr>
        <w:t xml:space="preserve">nustatymą </w:t>
      </w:r>
      <w:r w:rsidRPr="00997315">
        <w:rPr>
          <w:rFonts w:ascii="Helvetica" w:hAnsi="Helvetica" w:cs="Arial"/>
          <w:sz w:val="20"/>
          <w:szCs w:val="24"/>
          <w:lang w:val="lt-LT"/>
        </w:rPr>
        <w:t>nenormal</w:t>
      </w:r>
      <w:r w:rsidR="009B114E" w:rsidRPr="00997315">
        <w:rPr>
          <w:rFonts w:ascii="Helvetica" w:hAnsi="Helvetica" w:cs="Arial"/>
          <w:sz w:val="20"/>
          <w:szCs w:val="24"/>
          <w:lang w:val="lt-LT"/>
        </w:rPr>
        <w:t>aus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nevaling</w:t>
      </w:r>
      <w:r w:rsidR="009B114E" w:rsidRPr="00997315">
        <w:rPr>
          <w:rFonts w:ascii="Helvetica" w:hAnsi="Helvetica" w:cs="Arial"/>
          <w:sz w:val="20"/>
          <w:szCs w:val="24"/>
          <w:lang w:val="lt-LT"/>
        </w:rPr>
        <w:t>o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jud</w:t>
      </w:r>
      <w:r w:rsidR="00E171C4" w:rsidRPr="00997315">
        <w:rPr>
          <w:rFonts w:ascii="Helvetica" w:hAnsi="Helvetica" w:cs="Arial"/>
          <w:sz w:val="20"/>
          <w:szCs w:val="24"/>
          <w:lang w:val="lt-LT"/>
        </w:rPr>
        <w:t>ėjimo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kontrolės laipsnio, pasiekto naudojant pradinį deuteriu pakeisto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tetrabenazino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54C7E" w:rsidRPr="00997315">
        <w:rPr>
          <w:rFonts w:ascii="Helvetica" w:hAnsi="Helvetica" w:cs="Arial"/>
          <w:sz w:val="20"/>
          <w:szCs w:val="24"/>
          <w:lang w:val="lt-LT"/>
        </w:rPr>
        <w:t>paros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kiekį, ir pradinio kiekio toleravimo nustatym</w:t>
      </w:r>
      <w:r w:rsidR="00131199" w:rsidRPr="00997315">
        <w:rPr>
          <w:rFonts w:ascii="Helvetica" w:hAnsi="Helvetica" w:cs="Arial"/>
          <w:sz w:val="20"/>
          <w:szCs w:val="24"/>
          <w:lang w:val="lt-LT"/>
        </w:rPr>
        <w:t>ą</w:t>
      </w:r>
      <w:r w:rsidRPr="00997315">
        <w:rPr>
          <w:rFonts w:ascii="Helvetica" w:hAnsi="Helvetica" w:cs="Arial"/>
          <w:sz w:val="20"/>
          <w:szCs w:val="24"/>
          <w:lang w:val="lt-LT"/>
        </w:rPr>
        <w:t>;</w:t>
      </w:r>
    </w:p>
    <w:p w14:paraId="2FF0C464" w14:textId="57596A28" w:rsidR="0066556A" w:rsidRPr="00997315" w:rsidRDefault="0066556A" w:rsidP="00997315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97315">
        <w:rPr>
          <w:rFonts w:ascii="Helvetica" w:hAnsi="Helvetica" w:cs="Arial"/>
          <w:sz w:val="20"/>
          <w:szCs w:val="24"/>
          <w:lang w:val="lt-LT"/>
        </w:rPr>
        <w:t>d) jei nenorma</w:t>
      </w:r>
      <w:r w:rsidR="00E171C4" w:rsidRPr="00997315">
        <w:rPr>
          <w:rFonts w:ascii="Helvetica" w:hAnsi="Helvetica" w:cs="Arial"/>
          <w:sz w:val="20"/>
          <w:szCs w:val="24"/>
          <w:lang w:val="lt-LT"/>
        </w:rPr>
        <w:t>laus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nevaling</w:t>
      </w:r>
      <w:r w:rsidR="00E171C4" w:rsidRPr="00997315">
        <w:rPr>
          <w:rFonts w:ascii="Helvetica" w:hAnsi="Helvetica" w:cs="Arial"/>
          <w:sz w:val="20"/>
          <w:szCs w:val="24"/>
          <w:lang w:val="lt-LT"/>
        </w:rPr>
        <w:t>o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jud</w:t>
      </w:r>
      <w:r w:rsidR="00E171C4" w:rsidRPr="00997315">
        <w:rPr>
          <w:rFonts w:ascii="Helvetica" w:hAnsi="Helvetica" w:cs="Arial"/>
          <w:sz w:val="20"/>
          <w:szCs w:val="24"/>
          <w:lang w:val="lt-LT"/>
        </w:rPr>
        <w:t>ėjimo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kontrolės laipsnis yra panašus į kontrolinį, kai </w:t>
      </w:r>
      <w:r w:rsidR="00F70BD2" w:rsidRPr="00997315">
        <w:rPr>
          <w:rFonts w:ascii="Helvetica" w:hAnsi="Helvetica" w:cs="Arial"/>
          <w:sz w:val="20"/>
          <w:szCs w:val="24"/>
          <w:lang w:val="lt-LT"/>
        </w:rPr>
        <w:t>subjektas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vartojo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tetrabenazin</w:t>
      </w:r>
      <w:r w:rsidR="00F70BD2" w:rsidRPr="00997315">
        <w:rPr>
          <w:rFonts w:ascii="Helvetica" w:hAnsi="Helvetica" w:cs="Arial"/>
          <w:sz w:val="20"/>
          <w:szCs w:val="24"/>
          <w:lang w:val="lt-LT"/>
        </w:rPr>
        <w:t>ą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 xml:space="preserve">, arba yra </w:t>
      </w:r>
      <w:r w:rsidR="00F70BD2" w:rsidRPr="00997315">
        <w:rPr>
          <w:rFonts w:ascii="Helvetica" w:hAnsi="Helvetica" w:cs="Arial"/>
          <w:sz w:val="20"/>
          <w:szCs w:val="24"/>
          <w:lang w:val="lt-LT"/>
        </w:rPr>
        <w:t xml:space="preserve">netinkamas, </w:t>
      </w:r>
      <w:r w:rsidRPr="00997315">
        <w:rPr>
          <w:rFonts w:ascii="Helvetica" w:hAnsi="Helvetica" w:cs="Arial"/>
          <w:sz w:val="20"/>
          <w:szCs w:val="24"/>
          <w:lang w:val="lt-LT"/>
        </w:rPr>
        <w:t>ir pradinis kiekis yra toleruojamas, paros doz</w:t>
      </w:r>
      <w:r w:rsidR="00F70BD2" w:rsidRPr="00997315">
        <w:rPr>
          <w:rFonts w:ascii="Helvetica" w:hAnsi="Helvetica" w:cs="Arial"/>
          <w:sz w:val="20"/>
          <w:szCs w:val="24"/>
          <w:lang w:val="lt-LT"/>
        </w:rPr>
        <w:t>ės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F70BD2" w:rsidRPr="00997315">
        <w:rPr>
          <w:rFonts w:ascii="Helvetica" w:hAnsi="Helvetica" w:cs="Arial"/>
          <w:sz w:val="20"/>
          <w:szCs w:val="24"/>
          <w:lang w:val="lt-LT"/>
        </w:rPr>
        <w:t>padidinimą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6 mg per parą iki </w:t>
      </w:r>
      <w:r w:rsidR="00E54C7E" w:rsidRPr="00997315">
        <w:rPr>
          <w:rFonts w:ascii="Helvetica" w:hAnsi="Helvetica" w:cs="Arial"/>
          <w:sz w:val="20"/>
          <w:szCs w:val="24"/>
          <w:lang w:val="lt-LT"/>
        </w:rPr>
        <w:t>sekančio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paros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deutetrabenazino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 xml:space="preserve"> kiekio;</w:t>
      </w:r>
    </w:p>
    <w:p w14:paraId="42AB0885" w14:textId="273AD141" w:rsidR="0066556A" w:rsidRPr="00997315" w:rsidRDefault="0066556A" w:rsidP="00997315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97315">
        <w:rPr>
          <w:rFonts w:ascii="Helvetica" w:hAnsi="Helvetica" w:cs="Arial"/>
          <w:sz w:val="20"/>
          <w:szCs w:val="24"/>
          <w:lang w:val="lt-LT"/>
        </w:rPr>
        <w:t xml:space="preserve">e) maždaug po savaitės, pasirinktinai, </w:t>
      </w:r>
      <w:r w:rsidR="00F70BD2" w:rsidRPr="00997315">
        <w:rPr>
          <w:rFonts w:ascii="Helvetica" w:hAnsi="Helvetica" w:cs="Arial"/>
          <w:sz w:val="20"/>
          <w:szCs w:val="24"/>
          <w:lang w:val="lt-LT"/>
        </w:rPr>
        <w:t>etapų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c) ir d) </w:t>
      </w:r>
      <w:r w:rsidR="00F70BD2" w:rsidRPr="00997315">
        <w:rPr>
          <w:rFonts w:ascii="Helvetica" w:hAnsi="Helvetica" w:cs="Arial"/>
          <w:sz w:val="20"/>
          <w:szCs w:val="24"/>
          <w:lang w:val="lt-LT"/>
        </w:rPr>
        <w:t>pakartojimą</w:t>
      </w:r>
      <w:r w:rsidRPr="00997315">
        <w:rPr>
          <w:rFonts w:ascii="Helvetica" w:hAnsi="Helvetica" w:cs="Arial"/>
          <w:sz w:val="20"/>
          <w:szCs w:val="24"/>
          <w:lang w:val="lt-LT"/>
        </w:rPr>
        <w:t>, su sąlyga, kad nenormal</w:t>
      </w:r>
      <w:r w:rsidR="00E171C4" w:rsidRPr="00997315">
        <w:rPr>
          <w:rFonts w:ascii="Helvetica" w:hAnsi="Helvetica" w:cs="Arial"/>
          <w:sz w:val="20"/>
          <w:szCs w:val="24"/>
          <w:lang w:val="lt-LT"/>
        </w:rPr>
        <w:t>u</w:t>
      </w:r>
      <w:r w:rsidRPr="00997315">
        <w:rPr>
          <w:rFonts w:ascii="Helvetica" w:hAnsi="Helvetica" w:cs="Arial"/>
          <w:sz w:val="20"/>
          <w:szCs w:val="24"/>
          <w:lang w:val="lt-LT"/>
        </w:rPr>
        <w:t>s nevaling</w:t>
      </w:r>
      <w:r w:rsidR="00E171C4" w:rsidRPr="00997315">
        <w:rPr>
          <w:rFonts w:ascii="Helvetica" w:hAnsi="Helvetica" w:cs="Arial"/>
          <w:sz w:val="20"/>
          <w:szCs w:val="24"/>
          <w:lang w:val="lt-LT"/>
        </w:rPr>
        <w:t>as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jud</w:t>
      </w:r>
      <w:r w:rsidR="00E171C4" w:rsidRPr="00997315">
        <w:rPr>
          <w:rFonts w:ascii="Helvetica" w:hAnsi="Helvetica" w:cs="Arial"/>
          <w:sz w:val="20"/>
          <w:szCs w:val="24"/>
          <w:lang w:val="lt-LT"/>
        </w:rPr>
        <w:t>ėjimas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bus sumažint</w:t>
      </w:r>
      <w:r w:rsidR="00E171C4" w:rsidRPr="00997315">
        <w:rPr>
          <w:rFonts w:ascii="Helvetica" w:hAnsi="Helvetica" w:cs="Arial"/>
          <w:sz w:val="20"/>
          <w:szCs w:val="24"/>
          <w:lang w:val="lt-LT"/>
        </w:rPr>
        <w:t>as</w:t>
      </w:r>
      <w:r w:rsidR="00F70BD2" w:rsidRPr="00997315">
        <w:rPr>
          <w:rFonts w:ascii="Helvetica" w:hAnsi="Helvetica" w:cs="Arial"/>
          <w:sz w:val="20"/>
          <w:szCs w:val="24"/>
          <w:lang w:val="lt-LT"/>
        </w:rPr>
        <w:t>,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ir kiekis </w:t>
      </w:r>
      <w:r w:rsidR="00F70BD2" w:rsidRPr="00997315">
        <w:rPr>
          <w:rFonts w:ascii="Helvetica" w:hAnsi="Helvetica" w:cs="Arial"/>
          <w:sz w:val="20"/>
          <w:szCs w:val="24"/>
          <w:lang w:val="lt-LT"/>
        </w:rPr>
        <w:t xml:space="preserve">būtų </w:t>
      </w:r>
      <w:r w:rsidRPr="00997315">
        <w:rPr>
          <w:rFonts w:ascii="Helvetica" w:hAnsi="Helvetica" w:cs="Arial"/>
          <w:sz w:val="20"/>
          <w:szCs w:val="24"/>
          <w:lang w:val="lt-LT"/>
        </w:rPr>
        <w:t>toleruojamas; ir</w:t>
      </w:r>
    </w:p>
    <w:p w14:paraId="3672A824" w14:textId="4255F879" w:rsidR="0066556A" w:rsidRPr="00997315" w:rsidRDefault="0066556A" w:rsidP="00997315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97315">
        <w:rPr>
          <w:rFonts w:ascii="Helvetica" w:hAnsi="Helvetica" w:cs="Arial"/>
          <w:sz w:val="20"/>
          <w:szCs w:val="24"/>
          <w:lang w:val="lt-LT"/>
        </w:rPr>
        <w:t xml:space="preserve">f) pasirinktinai, jei bet koks tolesnis kiekis </w:t>
      </w:r>
      <w:r w:rsidR="00C57BA6" w:rsidRPr="00997315">
        <w:rPr>
          <w:rFonts w:ascii="Helvetica" w:hAnsi="Helvetica" w:cs="Arial"/>
          <w:sz w:val="20"/>
          <w:szCs w:val="24"/>
          <w:lang w:val="lt-LT"/>
        </w:rPr>
        <w:t xml:space="preserve">yra </w:t>
      </w:r>
      <w:r w:rsidRPr="00997315">
        <w:rPr>
          <w:rFonts w:ascii="Helvetica" w:hAnsi="Helvetica" w:cs="Arial"/>
          <w:sz w:val="20"/>
          <w:szCs w:val="24"/>
          <w:lang w:val="lt-LT"/>
        </w:rPr>
        <w:t>netoleruojamas, paros doz</w:t>
      </w:r>
      <w:r w:rsidR="00C57BA6" w:rsidRPr="00997315">
        <w:rPr>
          <w:rFonts w:ascii="Helvetica" w:hAnsi="Helvetica" w:cs="Arial"/>
          <w:sz w:val="20"/>
          <w:szCs w:val="24"/>
          <w:lang w:val="lt-LT"/>
        </w:rPr>
        <w:t>ės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57BA6" w:rsidRPr="00997315">
        <w:rPr>
          <w:rFonts w:ascii="Helvetica" w:hAnsi="Helvetica" w:cs="Arial"/>
          <w:sz w:val="20"/>
          <w:szCs w:val="24"/>
          <w:lang w:val="lt-LT"/>
        </w:rPr>
        <w:t xml:space="preserve">sumažinimą 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6 mg per dieną iki kitos </w:t>
      </w:r>
      <w:r w:rsidR="00C57BA6" w:rsidRPr="00997315">
        <w:rPr>
          <w:rFonts w:ascii="Helvetica" w:hAnsi="Helvetica" w:cs="Arial"/>
          <w:sz w:val="20"/>
          <w:szCs w:val="24"/>
          <w:lang w:val="lt-LT"/>
        </w:rPr>
        <w:t>paros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dozės.</w:t>
      </w:r>
    </w:p>
    <w:p w14:paraId="252C4070" w14:textId="77777777" w:rsidR="00C57BA6" w:rsidRPr="00997315" w:rsidRDefault="00C57BA6" w:rsidP="00997315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01C66B0" w14:textId="6C577F64" w:rsidR="0066556A" w:rsidRPr="00997315" w:rsidRDefault="0066556A" w:rsidP="0099731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97315">
        <w:rPr>
          <w:rFonts w:ascii="Helvetica" w:hAnsi="Helvetica" w:cs="Arial"/>
          <w:sz w:val="20"/>
          <w:szCs w:val="24"/>
          <w:lang w:val="lt-LT"/>
        </w:rPr>
        <w:t>11.</w:t>
      </w:r>
      <w:r w:rsidR="00C57BA6" w:rsidRPr="00997315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Deutetrabenazinas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 xml:space="preserve"> arba kompozicija, apimanti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deutetrabenaziną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>, skirt</w:t>
      </w:r>
      <w:r w:rsidR="007866B1" w:rsidRPr="00997315">
        <w:rPr>
          <w:rFonts w:ascii="Helvetica" w:hAnsi="Helvetica" w:cs="Arial"/>
          <w:sz w:val="20"/>
          <w:szCs w:val="24"/>
          <w:lang w:val="lt-LT"/>
        </w:rPr>
        <w:t>i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naudoti pagal 10 punktą, kur nenormalus nevalingas judėjimas yra susijęs su judėjimo sutrikimu arba </w:t>
      </w:r>
      <w:r w:rsidR="00812DBE" w:rsidRPr="00997315">
        <w:rPr>
          <w:rFonts w:ascii="Helvetica" w:hAnsi="Helvetica" w:cs="Arial"/>
          <w:sz w:val="20"/>
          <w:szCs w:val="24"/>
          <w:lang w:val="lt-LT"/>
        </w:rPr>
        <w:t xml:space="preserve">yra 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jo sukeltas; </w:t>
      </w:r>
      <w:r w:rsidR="00B05EDE" w:rsidRPr="00997315">
        <w:rPr>
          <w:rFonts w:ascii="Helvetica" w:hAnsi="Helvetica" w:cs="Arial"/>
          <w:sz w:val="20"/>
          <w:szCs w:val="24"/>
          <w:lang w:val="lt-LT"/>
        </w:rPr>
        <w:t>pageidautina</w:t>
      </w:r>
      <w:r w:rsidRPr="00997315">
        <w:rPr>
          <w:rFonts w:ascii="Helvetica" w:hAnsi="Helvetica" w:cs="Arial"/>
          <w:sz w:val="20"/>
          <w:szCs w:val="24"/>
          <w:lang w:val="lt-LT"/>
        </w:rPr>
        <w:t>, k</w:t>
      </w:r>
      <w:r w:rsidR="00812DBE" w:rsidRPr="00997315">
        <w:rPr>
          <w:rFonts w:ascii="Helvetica" w:hAnsi="Helvetica" w:cs="Arial"/>
          <w:sz w:val="20"/>
          <w:szCs w:val="24"/>
          <w:lang w:val="lt-LT"/>
        </w:rPr>
        <w:t>ur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judėjimo sutrikimas yra parinktas iš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Hantingtono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 xml:space="preserve"> ligos, vėlyvosios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diskinezijos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 xml:space="preserve"> ir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Turet</w:t>
      </w:r>
      <w:r w:rsidR="00812DBE" w:rsidRPr="00997315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 xml:space="preserve"> sindromo; pageidautina, kur nenormalus nevalingas jud</w:t>
      </w:r>
      <w:r w:rsidR="00812DBE" w:rsidRPr="00997315">
        <w:rPr>
          <w:rFonts w:ascii="Helvetica" w:hAnsi="Helvetica" w:cs="Arial"/>
          <w:sz w:val="20"/>
          <w:szCs w:val="24"/>
          <w:lang w:val="lt-LT"/>
        </w:rPr>
        <w:t>ėjimas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yra parinktas iš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chorėjos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chorėjos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 xml:space="preserve">, susijusios su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Hantingtono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 xml:space="preserve"> liga,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akatizijos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diskinezijos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 xml:space="preserve">, tremoro, tiko ir tiko, susijusio su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Turet</w:t>
      </w:r>
      <w:r w:rsidR="00812DBE" w:rsidRPr="00997315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 xml:space="preserve"> sindromu.</w:t>
      </w:r>
    </w:p>
    <w:p w14:paraId="7B795CB3" w14:textId="77777777" w:rsidR="00812DBE" w:rsidRPr="00997315" w:rsidRDefault="00812DBE" w:rsidP="00997315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F426BA1" w14:textId="1A8EB3F7" w:rsidR="0066556A" w:rsidRPr="00997315" w:rsidRDefault="0066556A" w:rsidP="0099731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97315">
        <w:rPr>
          <w:rFonts w:ascii="Helvetica" w:hAnsi="Helvetica" w:cs="Arial"/>
          <w:sz w:val="20"/>
          <w:szCs w:val="24"/>
          <w:lang w:val="lt-LT"/>
        </w:rPr>
        <w:t>12.</w:t>
      </w:r>
      <w:r w:rsidR="00812DBE" w:rsidRPr="00997315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Deutetrabenazinas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 xml:space="preserve"> arba kompozicija, apimanti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deutetrabenaziną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>, skirt</w:t>
      </w:r>
      <w:r w:rsidR="007866B1" w:rsidRPr="00997315">
        <w:rPr>
          <w:rFonts w:ascii="Helvetica" w:hAnsi="Helvetica" w:cs="Arial"/>
          <w:sz w:val="20"/>
          <w:szCs w:val="24"/>
          <w:lang w:val="lt-LT"/>
        </w:rPr>
        <w:t>i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naudoti pagal 10 arba 11 punktą, kur judėjimo sutrikimas yra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Hantingtono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 xml:space="preserve"> liga</w:t>
      </w:r>
      <w:r w:rsidR="00812DBE" w:rsidRPr="00997315">
        <w:rPr>
          <w:rFonts w:ascii="Helvetica" w:hAnsi="Helvetica" w:cs="Arial"/>
          <w:sz w:val="20"/>
          <w:szCs w:val="24"/>
          <w:lang w:val="lt-LT"/>
        </w:rPr>
        <w:t>,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ir kur nenormalus nevalingas </w:t>
      </w:r>
      <w:r w:rsidR="00812DBE" w:rsidRPr="00997315">
        <w:rPr>
          <w:rFonts w:ascii="Helvetica" w:hAnsi="Helvetica" w:cs="Arial"/>
          <w:sz w:val="20"/>
          <w:szCs w:val="24"/>
          <w:lang w:val="lt-LT"/>
        </w:rPr>
        <w:t>judėjimas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yra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chorėja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 xml:space="preserve">, susijusi su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Hantingtono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 xml:space="preserve"> liga.</w:t>
      </w:r>
    </w:p>
    <w:p w14:paraId="5B900CB7" w14:textId="77777777" w:rsidR="00812DBE" w:rsidRPr="00997315" w:rsidRDefault="00812DBE" w:rsidP="00997315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78FA156" w14:textId="3A44939C" w:rsidR="0066556A" w:rsidRPr="00997315" w:rsidRDefault="0066556A" w:rsidP="0099731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97315">
        <w:rPr>
          <w:rFonts w:ascii="Helvetica" w:hAnsi="Helvetica" w:cs="Arial"/>
          <w:sz w:val="20"/>
          <w:szCs w:val="24"/>
          <w:lang w:val="lt-LT"/>
        </w:rPr>
        <w:t>13.</w:t>
      </w:r>
      <w:r w:rsidR="00812DBE" w:rsidRPr="00997315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Deutetrabenazinas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 xml:space="preserve"> arba kompozicija, apimanti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deutetrabenaziną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>, skirt</w:t>
      </w:r>
      <w:r w:rsidR="007866B1" w:rsidRPr="00997315">
        <w:rPr>
          <w:rFonts w:ascii="Helvetica" w:hAnsi="Helvetica" w:cs="Arial"/>
          <w:sz w:val="20"/>
          <w:szCs w:val="24"/>
          <w:lang w:val="lt-LT"/>
        </w:rPr>
        <w:t>i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naudoti pagal bet kurį iš 10</w:t>
      </w:r>
      <w:r w:rsidR="00EC0288" w:rsidRPr="00997315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97315">
        <w:rPr>
          <w:rFonts w:ascii="Helvetica" w:hAnsi="Helvetica" w:cs="Arial"/>
          <w:sz w:val="20"/>
          <w:szCs w:val="24"/>
          <w:lang w:val="lt-LT"/>
        </w:rPr>
        <w:t>-</w:t>
      </w:r>
      <w:r w:rsidR="00EC0288" w:rsidRPr="00997315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97315">
        <w:rPr>
          <w:rFonts w:ascii="Helvetica" w:hAnsi="Helvetica" w:cs="Arial"/>
          <w:sz w:val="20"/>
          <w:szCs w:val="24"/>
          <w:lang w:val="lt-LT"/>
        </w:rPr>
        <w:t>12 punktų, kur toleravimas yra nustatomas įvertinus vieną</w:t>
      </w:r>
      <w:r w:rsidR="001656FC" w:rsidRPr="00997315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daugiau subjekto depresijos, nerimo, </w:t>
      </w:r>
      <w:r w:rsidRPr="00997315">
        <w:rPr>
          <w:rFonts w:ascii="Helvetica" w:hAnsi="Helvetica" w:cs="Arial"/>
          <w:sz w:val="20"/>
          <w:szCs w:val="24"/>
          <w:lang w:val="lt-LT"/>
        </w:rPr>
        <w:lastRenderedPageBreak/>
        <w:t>nemigos, mieguistumo, nuovargio, galvos svaigimo, neramumo, susijaudinim</w:t>
      </w:r>
      <w:r w:rsidR="00EC0288" w:rsidRPr="00997315">
        <w:rPr>
          <w:rFonts w:ascii="Helvetica" w:hAnsi="Helvetica" w:cs="Arial"/>
          <w:sz w:val="20"/>
          <w:szCs w:val="24"/>
          <w:lang w:val="lt-LT"/>
        </w:rPr>
        <w:t>o</w:t>
      </w:r>
      <w:r w:rsidRPr="00997315">
        <w:rPr>
          <w:rFonts w:ascii="Helvetica" w:hAnsi="Helvetica" w:cs="Arial"/>
          <w:sz w:val="20"/>
          <w:szCs w:val="24"/>
          <w:lang w:val="lt-LT"/>
        </w:rPr>
        <w:t>, dirglum</w:t>
      </w:r>
      <w:r w:rsidR="00EC0288" w:rsidRPr="00997315">
        <w:rPr>
          <w:rFonts w:ascii="Helvetica" w:hAnsi="Helvetica" w:cs="Arial"/>
          <w:sz w:val="20"/>
          <w:szCs w:val="24"/>
          <w:lang w:val="lt-LT"/>
        </w:rPr>
        <w:t>o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akatizij</w:t>
      </w:r>
      <w:r w:rsidR="00EC0288" w:rsidRPr="00997315">
        <w:rPr>
          <w:rFonts w:ascii="Helvetica" w:hAnsi="Helvetica" w:cs="Arial"/>
          <w:sz w:val="20"/>
          <w:szCs w:val="24"/>
          <w:lang w:val="lt-LT"/>
        </w:rPr>
        <w:t>os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>, vėlyvo</w:t>
      </w:r>
      <w:r w:rsidR="00EC0288" w:rsidRPr="00997315">
        <w:rPr>
          <w:rFonts w:ascii="Helvetica" w:hAnsi="Helvetica" w:cs="Arial"/>
          <w:sz w:val="20"/>
          <w:szCs w:val="24"/>
          <w:lang w:val="lt-LT"/>
        </w:rPr>
        <w:t>sios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diskinezij</w:t>
      </w:r>
      <w:r w:rsidR="00EC0288" w:rsidRPr="00997315">
        <w:rPr>
          <w:rFonts w:ascii="Helvetica" w:hAnsi="Helvetica" w:cs="Arial"/>
          <w:sz w:val="20"/>
          <w:szCs w:val="24"/>
          <w:lang w:val="lt-LT"/>
        </w:rPr>
        <w:t>os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>, rijim</w:t>
      </w:r>
      <w:r w:rsidR="00EC0288" w:rsidRPr="00997315">
        <w:rPr>
          <w:rFonts w:ascii="Helvetica" w:hAnsi="Helvetica" w:cs="Arial"/>
          <w:sz w:val="20"/>
          <w:szCs w:val="24"/>
          <w:lang w:val="lt-LT"/>
        </w:rPr>
        <w:t>o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parkinsonizm</w:t>
      </w:r>
      <w:r w:rsidR="00EC0288" w:rsidRPr="00997315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>, vėmim</w:t>
      </w:r>
      <w:r w:rsidR="00EC0288" w:rsidRPr="00997315">
        <w:rPr>
          <w:rFonts w:ascii="Helvetica" w:hAnsi="Helvetica" w:cs="Arial"/>
          <w:sz w:val="20"/>
          <w:szCs w:val="24"/>
          <w:lang w:val="lt-LT"/>
        </w:rPr>
        <w:t>o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ir pykinim</w:t>
      </w:r>
      <w:r w:rsidR="00EC0288" w:rsidRPr="00997315">
        <w:rPr>
          <w:rFonts w:ascii="Helvetica" w:hAnsi="Helvetica" w:cs="Arial"/>
          <w:sz w:val="20"/>
          <w:szCs w:val="24"/>
          <w:lang w:val="lt-LT"/>
        </w:rPr>
        <w:t>o lygių</w:t>
      </w:r>
      <w:r w:rsidRPr="00997315">
        <w:rPr>
          <w:rFonts w:ascii="Helvetica" w:hAnsi="Helvetica" w:cs="Arial"/>
          <w:sz w:val="20"/>
          <w:szCs w:val="24"/>
          <w:lang w:val="lt-LT"/>
        </w:rPr>
        <w:t>.</w:t>
      </w:r>
    </w:p>
    <w:p w14:paraId="7642A898" w14:textId="77777777" w:rsidR="00EC0288" w:rsidRPr="00997315" w:rsidRDefault="00EC0288" w:rsidP="00997315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8DA1EB8" w14:textId="342D58AC" w:rsidR="0066556A" w:rsidRPr="00997315" w:rsidRDefault="0066556A" w:rsidP="0099731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97315">
        <w:rPr>
          <w:rFonts w:ascii="Helvetica" w:hAnsi="Helvetica" w:cs="Arial"/>
          <w:sz w:val="20"/>
          <w:szCs w:val="24"/>
          <w:lang w:val="lt-LT"/>
        </w:rPr>
        <w:t>14.</w:t>
      </w:r>
      <w:r w:rsidR="00EC0288" w:rsidRPr="00997315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Deutetrabenazinas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 xml:space="preserve"> arba kompozicija, apimanti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deutetrabenaziną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>, skirt</w:t>
      </w:r>
      <w:r w:rsidR="007866B1" w:rsidRPr="00997315">
        <w:rPr>
          <w:rFonts w:ascii="Helvetica" w:hAnsi="Helvetica" w:cs="Arial"/>
          <w:sz w:val="20"/>
          <w:szCs w:val="24"/>
          <w:lang w:val="lt-LT"/>
        </w:rPr>
        <w:t>i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naudoti pagal bet kurį iš 10</w:t>
      </w:r>
      <w:r w:rsidR="00EC0288" w:rsidRPr="00997315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97315">
        <w:rPr>
          <w:rFonts w:ascii="Helvetica" w:hAnsi="Helvetica" w:cs="Arial"/>
          <w:sz w:val="20"/>
          <w:szCs w:val="24"/>
          <w:lang w:val="lt-LT"/>
        </w:rPr>
        <w:t>-</w:t>
      </w:r>
      <w:r w:rsidR="00EC0288" w:rsidRPr="00997315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13 punktų, kur </w:t>
      </w:r>
      <w:r w:rsidR="00EC0288" w:rsidRPr="00997315">
        <w:rPr>
          <w:rFonts w:ascii="Helvetica" w:hAnsi="Helvetica" w:cs="Arial"/>
          <w:sz w:val="20"/>
          <w:szCs w:val="24"/>
          <w:lang w:val="lt-LT"/>
        </w:rPr>
        <w:t xml:space="preserve">pakopos 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c) ir d) </w:t>
      </w:r>
      <w:r w:rsidR="007866B1" w:rsidRPr="00997315">
        <w:rPr>
          <w:rFonts w:ascii="Helvetica" w:hAnsi="Helvetica" w:cs="Arial"/>
          <w:sz w:val="20"/>
          <w:szCs w:val="24"/>
          <w:lang w:val="lt-LT"/>
        </w:rPr>
        <w:t xml:space="preserve">yra </w:t>
      </w:r>
      <w:r w:rsidRPr="00997315">
        <w:rPr>
          <w:rFonts w:ascii="Helvetica" w:hAnsi="Helvetica" w:cs="Arial"/>
          <w:sz w:val="20"/>
          <w:szCs w:val="24"/>
          <w:lang w:val="lt-LT"/>
        </w:rPr>
        <w:t>kartojamos tol, kol nenormalaus nevalingo jud</w:t>
      </w:r>
      <w:r w:rsidR="00EC0288" w:rsidRPr="00997315">
        <w:rPr>
          <w:rFonts w:ascii="Helvetica" w:hAnsi="Helvetica" w:cs="Arial"/>
          <w:sz w:val="20"/>
          <w:szCs w:val="24"/>
          <w:lang w:val="lt-LT"/>
        </w:rPr>
        <w:t>ėjimo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kontrolės laipsnis yra pakankamas</w:t>
      </w:r>
      <w:r w:rsidR="004D3001" w:rsidRPr="00997315">
        <w:rPr>
          <w:rFonts w:ascii="Helvetica" w:hAnsi="Helvetica" w:cs="Arial"/>
          <w:sz w:val="20"/>
          <w:szCs w:val="24"/>
          <w:lang w:val="lt-LT"/>
        </w:rPr>
        <w:t>,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ir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deutetrabenazino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E7EE3" w:rsidRPr="00997315">
        <w:rPr>
          <w:rFonts w:ascii="Helvetica" w:hAnsi="Helvetica" w:cs="Arial"/>
          <w:sz w:val="20"/>
          <w:szCs w:val="24"/>
          <w:lang w:val="lt-LT"/>
        </w:rPr>
        <w:t>paros kiekis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yra toleruojamas.</w:t>
      </w:r>
    </w:p>
    <w:p w14:paraId="5E3CDD74" w14:textId="77777777" w:rsidR="004D3001" w:rsidRPr="00997315" w:rsidRDefault="004D3001" w:rsidP="00997315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111B733" w14:textId="4D50FB60" w:rsidR="0066556A" w:rsidRPr="00997315" w:rsidRDefault="0066556A" w:rsidP="0099731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97315">
        <w:rPr>
          <w:rFonts w:ascii="Helvetica" w:hAnsi="Helvetica" w:cs="Arial"/>
          <w:sz w:val="20"/>
          <w:szCs w:val="24"/>
          <w:lang w:val="lt-LT"/>
        </w:rPr>
        <w:t>15.</w:t>
      </w:r>
      <w:r w:rsidR="004D3001" w:rsidRPr="00997315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Deutetrabenazinas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 xml:space="preserve"> arba kompozicija, apimanti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deutetrabenaziną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>, skirt</w:t>
      </w:r>
      <w:r w:rsidR="007866B1" w:rsidRPr="00997315">
        <w:rPr>
          <w:rFonts w:ascii="Helvetica" w:hAnsi="Helvetica" w:cs="Arial"/>
          <w:sz w:val="20"/>
          <w:szCs w:val="24"/>
          <w:lang w:val="lt-LT"/>
        </w:rPr>
        <w:t>i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naudoti pagal bet kurį iš 10</w:t>
      </w:r>
      <w:r w:rsidR="0003792B" w:rsidRPr="00997315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97315">
        <w:rPr>
          <w:rFonts w:ascii="Helvetica" w:hAnsi="Helvetica" w:cs="Arial"/>
          <w:sz w:val="20"/>
          <w:szCs w:val="24"/>
          <w:lang w:val="lt-LT"/>
        </w:rPr>
        <w:t>-</w:t>
      </w:r>
      <w:r w:rsidR="0003792B" w:rsidRPr="00997315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14 punktų, kur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deutetrabenazino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E7EE3" w:rsidRPr="00997315">
        <w:rPr>
          <w:rFonts w:ascii="Helvetica" w:hAnsi="Helvetica" w:cs="Arial"/>
          <w:sz w:val="20"/>
          <w:szCs w:val="24"/>
          <w:lang w:val="lt-LT"/>
        </w:rPr>
        <w:t>paros kiekis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="0003792B" w:rsidRPr="00997315">
        <w:rPr>
          <w:rFonts w:ascii="Helvetica" w:hAnsi="Helvetica" w:cs="Arial"/>
          <w:sz w:val="20"/>
          <w:szCs w:val="24"/>
          <w:lang w:val="lt-LT"/>
        </w:rPr>
        <w:t>įvedamas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viena doze arba dvie</w:t>
      </w:r>
      <w:r w:rsidR="00EB57A7" w:rsidRPr="00997315">
        <w:rPr>
          <w:rFonts w:ascii="Helvetica" w:hAnsi="Helvetica" w:cs="Arial"/>
          <w:sz w:val="20"/>
          <w:szCs w:val="24"/>
          <w:lang w:val="lt-LT"/>
        </w:rPr>
        <w:t>m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dozėmis; </w:t>
      </w:r>
      <w:r w:rsidR="00B05EDE" w:rsidRPr="00997315">
        <w:rPr>
          <w:rFonts w:ascii="Helvetica" w:hAnsi="Helvetica" w:cs="Arial"/>
          <w:sz w:val="20"/>
          <w:szCs w:val="24"/>
          <w:lang w:val="lt-LT"/>
        </w:rPr>
        <w:t>pageidautina</w:t>
      </w:r>
      <w:r w:rsidRPr="00997315">
        <w:rPr>
          <w:rFonts w:ascii="Helvetica" w:hAnsi="Helvetica" w:cs="Arial"/>
          <w:sz w:val="20"/>
          <w:szCs w:val="24"/>
          <w:lang w:val="lt-LT"/>
        </w:rPr>
        <w:t>, k</w:t>
      </w:r>
      <w:r w:rsidR="0003792B" w:rsidRPr="00997315">
        <w:rPr>
          <w:rFonts w:ascii="Helvetica" w:hAnsi="Helvetica" w:cs="Arial"/>
          <w:sz w:val="20"/>
          <w:szCs w:val="24"/>
          <w:lang w:val="lt-LT"/>
        </w:rPr>
        <w:t>ur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deutetrabenazino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 xml:space="preserve"> paros kiekis yra nuo 24-48 mg arba 36-48 mg, arba kur paros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deutetrabenazino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 xml:space="preserve"> kiekis yra parinktas iš maždaug 6 mg, </w:t>
      </w:r>
      <w:r w:rsidR="00CE7EE3" w:rsidRPr="00997315">
        <w:rPr>
          <w:rFonts w:ascii="Helvetica" w:hAnsi="Helvetica" w:cs="Arial"/>
          <w:sz w:val="20"/>
          <w:szCs w:val="24"/>
          <w:lang w:val="lt-LT"/>
        </w:rPr>
        <w:t>maždaug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12 mg, </w:t>
      </w:r>
      <w:r w:rsidR="00CE7EE3" w:rsidRPr="00997315">
        <w:rPr>
          <w:rFonts w:ascii="Helvetica" w:hAnsi="Helvetica" w:cs="Arial"/>
          <w:sz w:val="20"/>
          <w:szCs w:val="24"/>
          <w:lang w:val="lt-LT"/>
        </w:rPr>
        <w:t>maždaug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18 mg, </w:t>
      </w:r>
      <w:r w:rsidR="00CE7EE3" w:rsidRPr="00997315">
        <w:rPr>
          <w:rFonts w:ascii="Helvetica" w:hAnsi="Helvetica" w:cs="Arial"/>
          <w:sz w:val="20"/>
          <w:szCs w:val="24"/>
          <w:lang w:val="lt-LT"/>
        </w:rPr>
        <w:t>maždaug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24 mg, </w:t>
      </w:r>
      <w:r w:rsidR="00CE7EE3" w:rsidRPr="00997315">
        <w:rPr>
          <w:rFonts w:ascii="Helvetica" w:hAnsi="Helvetica" w:cs="Arial"/>
          <w:sz w:val="20"/>
          <w:szCs w:val="24"/>
          <w:lang w:val="lt-LT"/>
        </w:rPr>
        <w:t>maždaug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30 mg, </w:t>
      </w:r>
      <w:r w:rsidR="00CE7EE3" w:rsidRPr="00997315">
        <w:rPr>
          <w:rFonts w:ascii="Helvetica" w:hAnsi="Helvetica" w:cs="Arial"/>
          <w:sz w:val="20"/>
          <w:szCs w:val="24"/>
          <w:lang w:val="lt-LT"/>
        </w:rPr>
        <w:t>maždaug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36 mg, </w:t>
      </w:r>
      <w:r w:rsidR="00CE7EE3" w:rsidRPr="00997315">
        <w:rPr>
          <w:rFonts w:ascii="Helvetica" w:hAnsi="Helvetica" w:cs="Arial"/>
          <w:sz w:val="20"/>
          <w:szCs w:val="24"/>
          <w:lang w:val="lt-LT"/>
        </w:rPr>
        <w:t>maždaug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42 mg ir </w:t>
      </w:r>
      <w:r w:rsidR="00CE7EE3" w:rsidRPr="00997315">
        <w:rPr>
          <w:rFonts w:ascii="Helvetica" w:hAnsi="Helvetica" w:cs="Arial"/>
          <w:sz w:val="20"/>
          <w:szCs w:val="24"/>
          <w:lang w:val="lt-LT"/>
        </w:rPr>
        <w:t>maždaug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48 mg.</w:t>
      </w:r>
    </w:p>
    <w:p w14:paraId="55C4B989" w14:textId="77777777" w:rsidR="0003792B" w:rsidRPr="00997315" w:rsidRDefault="0003792B" w:rsidP="00997315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8B3B4B2" w14:textId="43714ACA" w:rsidR="0066556A" w:rsidRPr="00997315" w:rsidRDefault="0066556A" w:rsidP="0099731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97315">
        <w:rPr>
          <w:rFonts w:ascii="Helvetica" w:hAnsi="Helvetica" w:cs="Arial"/>
          <w:sz w:val="20"/>
          <w:szCs w:val="24"/>
          <w:lang w:val="lt-LT"/>
        </w:rPr>
        <w:t>16.</w:t>
      </w:r>
      <w:r w:rsidR="0003792B" w:rsidRPr="00997315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Deutetrabenazinas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 xml:space="preserve"> arba kompozicija, apimanti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deutetrabenaziną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>, skirt</w:t>
      </w:r>
      <w:r w:rsidR="007866B1" w:rsidRPr="00997315">
        <w:rPr>
          <w:rFonts w:ascii="Helvetica" w:hAnsi="Helvetica" w:cs="Arial"/>
          <w:sz w:val="20"/>
          <w:szCs w:val="24"/>
          <w:lang w:val="lt-LT"/>
        </w:rPr>
        <w:t>i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naudoti pagal bet kurį iš 10</w:t>
      </w:r>
      <w:r w:rsidR="0003792B" w:rsidRPr="00997315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97315">
        <w:rPr>
          <w:rFonts w:ascii="Helvetica" w:hAnsi="Helvetica" w:cs="Arial"/>
          <w:sz w:val="20"/>
          <w:szCs w:val="24"/>
          <w:lang w:val="lt-LT"/>
        </w:rPr>
        <w:t>-</w:t>
      </w:r>
      <w:r w:rsidR="0003792B" w:rsidRPr="00997315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14 punktų, kur pradinis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deutetrabenazino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E7EE3" w:rsidRPr="00997315">
        <w:rPr>
          <w:rFonts w:ascii="Helvetica" w:hAnsi="Helvetica" w:cs="Arial"/>
          <w:sz w:val="20"/>
          <w:szCs w:val="24"/>
          <w:lang w:val="lt-LT"/>
        </w:rPr>
        <w:t>paros kiekis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="0003792B" w:rsidRPr="00997315">
        <w:rPr>
          <w:rFonts w:ascii="Helvetica" w:hAnsi="Helvetica" w:cs="Arial"/>
          <w:sz w:val="20"/>
          <w:szCs w:val="24"/>
          <w:lang w:val="lt-LT"/>
        </w:rPr>
        <w:t>įvedamas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viena doze</w:t>
      </w:r>
      <w:r w:rsidR="0003792B" w:rsidRPr="00997315">
        <w:rPr>
          <w:rFonts w:ascii="Helvetica" w:hAnsi="Helvetica" w:cs="Arial"/>
          <w:sz w:val="20"/>
          <w:szCs w:val="24"/>
          <w:lang w:val="lt-LT"/>
        </w:rPr>
        <w:t>,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="00B05EDE" w:rsidRPr="00997315">
        <w:rPr>
          <w:rFonts w:ascii="Helvetica" w:hAnsi="Helvetica" w:cs="Arial"/>
          <w:sz w:val="20"/>
          <w:szCs w:val="24"/>
          <w:lang w:val="lt-LT"/>
        </w:rPr>
        <w:t>pageidautina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="00CE7EE3" w:rsidRPr="00997315">
        <w:rPr>
          <w:rFonts w:ascii="Helvetica" w:hAnsi="Helvetica" w:cs="Arial"/>
          <w:sz w:val="20"/>
          <w:szCs w:val="24"/>
          <w:lang w:val="lt-LT"/>
        </w:rPr>
        <w:t>maždaug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6 mg/dieną.</w:t>
      </w:r>
    </w:p>
    <w:p w14:paraId="612AEC3A" w14:textId="77777777" w:rsidR="0003792B" w:rsidRPr="00997315" w:rsidRDefault="0003792B" w:rsidP="00997315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6C997BF" w14:textId="2C67CAF8" w:rsidR="0066556A" w:rsidRPr="00997315" w:rsidRDefault="0066556A" w:rsidP="0099731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97315">
        <w:rPr>
          <w:rFonts w:ascii="Helvetica" w:hAnsi="Helvetica" w:cs="Arial"/>
          <w:sz w:val="20"/>
          <w:szCs w:val="24"/>
          <w:lang w:val="lt-LT"/>
        </w:rPr>
        <w:t>17.</w:t>
      </w:r>
      <w:r w:rsidR="0003792B" w:rsidRPr="00997315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Deutetrabenazinas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 xml:space="preserve"> arba kompozicija, apimanti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deutetrabenaziną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>, skirt</w:t>
      </w:r>
      <w:r w:rsidR="007866B1" w:rsidRPr="00997315">
        <w:rPr>
          <w:rFonts w:ascii="Helvetica" w:hAnsi="Helvetica" w:cs="Arial"/>
          <w:sz w:val="20"/>
          <w:szCs w:val="24"/>
          <w:lang w:val="lt-LT"/>
        </w:rPr>
        <w:t>i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naudoti pagal bet kurį iš 10</w:t>
      </w:r>
      <w:r w:rsidR="0003792B" w:rsidRPr="00997315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97315">
        <w:rPr>
          <w:rFonts w:ascii="Helvetica" w:hAnsi="Helvetica" w:cs="Arial"/>
          <w:sz w:val="20"/>
          <w:szCs w:val="24"/>
          <w:lang w:val="lt-LT"/>
        </w:rPr>
        <w:t>-</w:t>
      </w:r>
      <w:r w:rsidR="0003792B" w:rsidRPr="00997315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14 punktų, kur pradinis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deutetrabenazino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E7EE3" w:rsidRPr="00997315">
        <w:rPr>
          <w:rFonts w:ascii="Helvetica" w:hAnsi="Helvetica" w:cs="Arial"/>
          <w:sz w:val="20"/>
          <w:szCs w:val="24"/>
          <w:lang w:val="lt-LT"/>
        </w:rPr>
        <w:t>paros kiekis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="0003792B" w:rsidRPr="00997315">
        <w:rPr>
          <w:rFonts w:ascii="Helvetica" w:hAnsi="Helvetica" w:cs="Arial"/>
          <w:sz w:val="20"/>
          <w:szCs w:val="24"/>
          <w:lang w:val="lt-LT"/>
        </w:rPr>
        <w:t>įvedamas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F00B6D" w:rsidRPr="00997315">
        <w:rPr>
          <w:rFonts w:ascii="Helvetica" w:hAnsi="Helvetica" w:cs="Arial"/>
          <w:sz w:val="20"/>
          <w:szCs w:val="24"/>
          <w:lang w:val="lt-LT"/>
        </w:rPr>
        <w:t>dviem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dozėmis, susidedančiomis iš pirmosios dozės ir antrosios dozės; kur:</w:t>
      </w:r>
    </w:p>
    <w:p w14:paraId="0ECF55A7" w14:textId="0B5F9B9E" w:rsidR="0066556A" w:rsidRPr="00997315" w:rsidRDefault="0066556A" w:rsidP="00997315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97315">
        <w:rPr>
          <w:rFonts w:ascii="Helvetica" w:hAnsi="Helvetica" w:cs="Arial"/>
          <w:sz w:val="20"/>
          <w:szCs w:val="24"/>
          <w:lang w:val="lt-LT"/>
        </w:rPr>
        <w:t xml:space="preserve">pirmoji dozė yra </w:t>
      </w:r>
      <w:r w:rsidR="00CE7EE3" w:rsidRPr="00997315">
        <w:rPr>
          <w:rFonts w:ascii="Helvetica" w:hAnsi="Helvetica" w:cs="Arial"/>
          <w:sz w:val="20"/>
          <w:szCs w:val="24"/>
          <w:lang w:val="lt-LT"/>
        </w:rPr>
        <w:t>maždaug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6 mg,</w:t>
      </w:r>
      <w:r w:rsidR="00854968" w:rsidRPr="00997315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antroji dozė yra </w:t>
      </w:r>
      <w:r w:rsidR="00CE7EE3" w:rsidRPr="00997315">
        <w:rPr>
          <w:rFonts w:ascii="Helvetica" w:hAnsi="Helvetica" w:cs="Arial"/>
          <w:sz w:val="20"/>
          <w:szCs w:val="24"/>
          <w:lang w:val="lt-LT"/>
        </w:rPr>
        <w:t>maždaug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6 mg;</w:t>
      </w:r>
    </w:p>
    <w:p w14:paraId="4315A449" w14:textId="06477480" w:rsidR="0066556A" w:rsidRPr="00997315" w:rsidRDefault="0066556A" w:rsidP="00997315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97315">
        <w:rPr>
          <w:rFonts w:ascii="Helvetica" w:hAnsi="Helvetica" w:cs="Arial"/>
          <w:sz w:val="20"/>
          <w:szCs w:val="24"/>
          <w:lang w:val="lt-LT"/>
        </w:rPr>
        <w:t xml:space="preserve">pirmoji dozė yra </w:t>
      </w:r>
      <w:r w:rsidR="00CE7EE3" w:rsidRPr="00997315">
        <w:rPr>
          <w:rFonts w:ascii="Helvetica" w:hAnsi="Helvetica" w:cs="Arial"/>
          <w:sz w:val="20"/>
          <w:szCs w:val="24"/>
          <w:lang w:val="lt-LT"/>
        </w:rPr>
        <w:t>maždaug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9 mg,</w:t>
      </w:r>
      <w:r w:rsidR="00854968" w:rsidRPr="00997315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antroji dozė yra </w:t>
      </w:r>
      <w:r w:rsidR="00CE7EE3" w:rsidRPr="00997315">
        <w:rPr>
          <w:rFonts w:ascii="Helvetica" w:hAnsi="Helvetica" w:cs="Arial"/>
          <w:sz w:val="20"/>
          <w:szCs w:val="24"/>
          <w:lang w:val="lt-LT"/>
        </w:rPr>
        <w:t>maždaug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9 mg;</w:t>
      </w:r>
    </w:p>
    <w:p w14:paraId="304C5C56" w14:textId="6A362D26" w:rsidR="0066556A" w:rsidRPr="00997315" w:rsidRDefault="0066556A" w:rsidP="00997315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97315">
        <w:rPr>
          <w:rFonts w:ascii="Helvetica" w:hAnsi="Helvetica" w:cs="Arial"/>
          <w:sz w:val="20"/>
          <w:szCs w:val="24"/>
          <w:lang w:val="lt-LT"/>
        </w:rPr>
        <w:t xml:space="preserve">pirmoji dozė yra </w:t>
      </w:r>
      <w:r w:rsidR="00CE7EE3" w:rsidRPr="00997315">
        <w:rPr>
          <w:rFonts w:ascii="Helvetica" w:hAnsi="Helvetica" w:cs="Arial"/>
          <w:sz w:val="20"/>
          <w:szCs w:val="24"/>
          <w:lang w:val="lt-LT"/>
        </w:rPr>
        <w:t>maždaug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12 mg,</w:t>
      </w:r>
      <w:r w:rsidR="00854968" w:rsidRPr="00997315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antroji dozė yra </w:t>
      </w:r>
      <w:r w:rsidR="00CE7EE3" w:rsidRPr="00997315">
        <w:rPr>
          <w:rFonts w:ascii="Helvetica" w:hAnsi="Helvetica" w:cs="Arial"/>
          <w:sz w:val="20"/>
          <w:szCs w:val="24"/>
          <w:lang w:val="lt-LT"/>
        </w:rPr>
        <w:t>maždaug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12 mg;</w:t>
      </w:r>
    </w:p>
    <w:p w14:paraId="7C7F2495" w14:textId="2A1DCA68" w:rsidR="0066556A" w:rsidRPr="00997315" w:rsidRDefault="0066556A" w:rsidP="00997315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97315">
        <w:rPr>
          <w:rFonts w:ascii="Helvetica" w:hAnsi="Helvetica" w:cs="Arial"/>
          <w:sz w:val="20"/>
          <w:szCs w:val="24"/>
          <w:lang w:val="lt-LT"/>
        </w:rPr>
        <w:t xml:space="preserve">pirmoji dozė yra </w:t>
      </w:r>
      <w:r w:rsidR="00CE7EE3" w:rsidRPr="00997315">
        <w:rPr>
          <w:rFonts w:ascii="Helvetica" w:hAnsi="Helvetica" w:cs="Arial"/>
          <w:sz w:val="20"/>
          <w:szCs w:val="24"/>
          <w:lang w:val="lt-LT"/>
        </w:rPr>
        <w:t>maždaug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15 mg,</w:t>
      </w:r>
      <w:r w:rsidR="00854968" w:rsidRPr="00997315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antroji dozė yra </w:t>
      </w:r>
      <w:r w:rsidR="00CE7EE3" w:rsidRPr="00997315">
        <w:rPr>
          <w:rFonts w:ascii="Helvetica" w:hAnsi="Helvetica" w:cs="Arial"/>
          <w:sz w:val="20"/>
          <w:szCs w:val="24"/>
          <w:lang w:val="lt-LT"/>
        </w:rPr>
        <w:t>maždaug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15 mg;</w:t>
      </w:r>
    </w:p>
    <w:p w14:paraId="34AB6410" w14:textId="6EDAFC13" w:rsidR="0066556A" w:rsidRPr="00997315" w:rsidRDefault="0066556A" w:rsidP="00997315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97315">
        <w:rPr>
          <w:rFonts w:ascii="Helvetica" w:hAnsi="Helvetica" w:cs="Arial"/>
          <w:sz w:val="20"/>
          <w:szCs w:val="24"/>
          <w:lang w:val="lt-LT"/>
        </w:rPr>
        <w:t xml:space="preserve">pirmoji dozė yra </w:t>
      </w:r>
      <w:r w:rsidR="00CE7EE3" w:rsidRPr="00997315">
        <w:rPr>
          <w:rFonts w:ascii="Helvetica" w:hAnsi="Helvetica" w:cs="Arial"/>
          <w:sz w:val="20"/>
          <w:szCs w:val="24"/>
          <w:lang w:val="lt-LT"/>
        </w:rPr>
        <w:t>maždaug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18 mg,</w:t>
      </w:r>
      <w:r w:rsidR="00854968" w:rsidRPr="00997315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antroji dozė yra </w:t>
      </w:r>
      <w:r w:rsidR="00CE7EE3" w:rsidRPr="00997315">
        <w:rPr>
          <w:rFonts w:ascii="Helvetica" w:hAnsi="Helvetica" w:cs="Arial"/>
          <w:sz w:val="20"/>
          <w:szCs w:val="24"/>
          <w:lang w:val="lt-LT"/>
        </w:rPr>
        <w:t>maždaug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18 mg;</w:t>
      </w:r>
    </w:p>
    <w:p w14:paraId="2E2A7E13" w14:textId="0197AA7E" w:rsidR="0066556A" w:rsidRPr="00997315" w:rsidRDefault="0066556A" w:rsidP="00997315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97315">
        <w:rPr>
          <w:rFonts w:ascii="Helvetica" w:hAnsi="Helvetica" w:cs="Arial"/>
          <w:sz w:val="20"/>
          <w:szCs w:val="24"/>
          <w:lang w:val="lt-LT"/>
        </w:rPr>
        <w:t xml:space="preserve">pirmoji dozė yra </w:t>
      </w:r>
      <w:r w:rsidR="00CE7EE3" w:rsidRPr="00997315">
        <w:rPr>
          <w:rFonts w:ascii="Helvetica" w:hAnsi="Helvetica" w:cs="Arial"/>
          <w:sz w:val="20"/>
          <w:szCs w:val="24"/>
          <w:lang w:val="lt-LT"/>
        </w:rPr>
        <w:t>maždaug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21 mg,</w:t>
      </w:r>
      <w:r w:rsidR="00854968" w:rsidRPr="00997315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antroji dozė yra </w:t>
      </w:r>
      <w:r w:rsidR="00CE7EE3" w:rsidRPr="00997315">
        <w:rPr>
          <w:rFonts w:ascii="Helvetica" w:hAnsi="Helvetica" w:cs="Arial"/>
          <w:sz w:val="20"/>
          <w:szCs w:val="24"/>
          <w:lang w:val="lt-LT"/>
        </w:rPr>
        <w:t>maždaug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21 mg; arba</w:t>
      </w:r>
    </w:p>
    <w:p w14:paraId="2F336496" w14:textId="36690B39" w:rsidR="0066556A" w:rsidRPr="00997315" w:rsidRDefault="0066556A" w:rsidP="00997315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97315">
        <w:rPr>
          <w:rFonts w:ascii="Helvetica" w:hAnsi="Helvetica" w:cs="Arial"/>
          <w:sz w:val="20"/>
          <w:szCs w:val="24"/>
          <w:lang w:val="lt-LT"/>
        </w:rPr>
        <w:t xml:space="preserve">pirmoji dozė yra </w:t>
      </w:r>
      <w:r w:rsidR="00CE7EE3" w:rsidRPr="00997315">
        <w:rPr>
          <w:rFonts w:ascii="Helvetica" w:hAnsi="Helvetica" w:cs="Arial"/>
          <w:sz w:val="20"/>
          <w:szCs w:val="24"/>
          <w:lang w:val="lt-LT"/>
        </w:rPr>
        <w:t>maždaug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24 mg,</w:t>
      </w:r>
      <w:r w:rsidR="00854968" w:rsidRPr="00997315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antroji dozė yra </w:t>
      </w:r>
      <w:r w:rsidR="00CE7EE3" w:rsidRPr="00997315">
        <w:rPr>
          <w:rFonts w:ascii="Helvetica" w:hAnsi="Helvetica" w:cs="Arial"/>
          <w:sz w:val="20"/>
          <w:szCs w:val="24"/>
          <w:lang w:val="lt-LT"/>
        </w:rPr>
        <w:t>maždaug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24 mg;</w:t>
      </w:r>
    </w:p>
    <w:p w14:paraId="1B7B6EC9" w14:textId="77777777" w:rsidR="0003792B" w:rsidRPr="00997315" w:rsidRDefault="0003792B" w:rsidP="00997315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DECC0C4" w14:textId="1A22EDE2" w:rsidR="0066556A" w:rsidRPr="00997315" w:rsidRDefault="0066556A" w:rsidP="0099731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97315">
        <w:rPr>
          <w:rFonts w:ascii="Helvetica" w:hAnsi="Helvetica" w:cs="Arial"/>
          <w:sz w:val="20"/>
          <w:szCs w:val="24"/>
          <w:lang w:val="lt-LT"/>
        </w:rPr>
        <w:t>18.</w:t>
      </w:r>
      <w:r w:rsidR="0003792B" w:rsidRPr="00997315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Deutetrabenazinas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 xml:space="preserve"> arba kompozicija, apimanti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deutetrabenaziną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>, skirt</w:t>
      </w:r>
      <w:r w:rsidR="007866B1" w:rsidRPr="00997315">
        <w:rPr>
          <w:rFonts w:ascii="Helvetica" w:hAnsi="Helvetica" w:cs="Arial"/>
          <w:sz w:val="20"/>
          <w:szCs w:val="24"/>
          <w:lang w:val="lt-LT"/>
        </w:rPr>
        <w:t>i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naudoti pagal 10 punktą, kur:</w:t>
      </w:r>
    </w:p>
    <w:p w14:paraId="2EAC058E" w14:textId="180602B1" w:rsidR="0066556A" w:rsidRPr="00997315" w:rsidRDefault="0066556A" w:rsidP="00997315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97315">
        <w:rPr>
          <w:rFonts w:ascii="Helvetica" w:hAnsi="Helvetica" w:cs="Arial"/>
          <w:sz w:val="20"/>
          <w:szCs w:val="24"/>
          <w:lang w:val="lt-LT"/>
        </w:rPr>
        <w:t xml:space="preserve">esamas bendras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tetrabenazino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 xml:space="preserve"> paros kiekis yra </w:t>
      </w:r>
      <w:r w:rsidR="00CE7EE3" w:rsidRPr="00997315">
        <w:rPr>
          <w:rFonts w:ascii="Helvetica" w:hAnsi="Helvetica" w:cs="Arial"/>
          <w:sz w:val="20"/>
          <w:szCs w:val="24"/>
          <w:lang w:val="lt-LT"/>
        </w:rPr>
        <w:t>maždaug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12,5 mg,</w:t>
      </w:r>
      <w:r w:rsidR="00854968" w:rsidRPr="00997315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pradinis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deutetrabenazino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 xml:space="preserve"> paros kiekis yra </w:t>
      </w:r>
      <w:r w:rsidR="00CE7EE3" w:rsidRPr="00997315">
        <w:rPr>
          <w:rFonts w:ascii="Helvetica" w:hAnsi="Helvetica" w:cs="Arial"/>
          <w:sz w:val="20"/>
          <w:szCs w:val="24"/>
          <w:lang w:val="lt-LT"/>
        </w:rPr>
        <w:t>maždaug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6 mg;</w:t>
      </w:r>
    </w:p>
    <w:p w14:paraId="185DF739" w14:textId="1814484F" w:rsidR="0066556A" w:rsidRPr="00997315" w:rsidRDefault="0066556A" w:rsidP="00997315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97315">
        <w:rPr>
          <w:rFonts w:ascii="Helvetica" w:hAnsi="Helvetica" w:cs="Arial"/>
          <w:sz w:val="20"/>
          <w:szCs w:val="24"/>
          <w:lang w:val="lt-LT"/>
        </w:rPr>
        <w:t xml:space="preserve">esamas bendras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tetrabenazino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 xml:space="preserve"> paros kiekis yra </w:t>
      </w:r>
      <w:r w:rsidR="00CE7EE3" w:rsidRPr="00997315">
        <w:rPr>
          <w:rFonts w:ascii="Helvetica" w:hAnsi="Helvetica" w:cs="Arial"/>
          <w:sz w:val="20"/>
          <w:szCs w:val="24"/>
          <w:lang w:val="lt-LT"/>
        </w:rPr>
        <w:t>maždaug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25 mg,</w:t>
      </w:r>
      <w:r w:rsidR="00854968" w:rsidRPr="00997315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pradinis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deutetrabenazino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 xml:space="preserve"> paros kiekis yra </w:t>
      </w:r>
      <w:r w:rsidR="00CE7EE3" w:rsidRPr="00997315">
        <w:rPr>
          <w:rFonts w:ascii="Helvetica" w:hAnsi="Helvetica" w:cs="Arial"/>
          <w:sz w:val="20"/>
          <w:szCs w:val="24"/>
          <w:lang w:val="lt-LT"/>
        </w:rPr>
        <w:t>maždaug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12 mg;</w:t>
      </w:r>
    </w:p>
    <w:p w14:paraId="67E208FE" w14:textId="31B36CD4" w:rsidR="0066556A" w:rsidRPr="00997315" w:rsidRDefault="0066556A" w:rsidP="00997315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97315">
        <w:rPr>
          <w:rFonts w:ascii="Helvetica" w:hAnsi="Helvetica" w:cs="Arial"/>
          <w:sz w:val="20"/>
          <w:szCs w:val="24"/>
          <w:lang w:val="lt-LT"/>
        </w:rPr>
        <w:t xml:space="preserve">esamas bendras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tetrabenazino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 xml:space="preserve"> paros kiekis yra </w:t>
      </w:r>
      <w:r w:rsidR="00CE7EE3" w:rsidRPr="00997315">
        <w:rPr>
          <w:rFonts w:ascii="Helvetica" w:hAnsi="Helvetica" w:cs="Arial"/>
          <w:sz w:val="20"/>
          <w:szCs w:val="24"/>
          <w:lang w:val="lt-LT"/>
        </w:rPr>
        <w:t>maždaug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37,5 mg,</w:t>
      </w:r>
      <w:r w:rsidR="00854968" w:rsidRPr="00997315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pradinis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deutetrabenazino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 xml:space="preserve"> paros kiekis yra </w:t>
      </w:r>
      <w:r w:rsidR="00CE7EE3" w:rsidRPr="00997315">
        <w:rPr>
          <w:rFonts w:ascii="Helvetica" w:hAnsi="Helvetica" w:cs="Arial"/>
          <w:sz w:val="20"/>
          <w:szCs w:val="24"/>
          <w:lang w:val="lt-LT"/>
        </w:rPr>
        <w:t>maždaug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18 mg;</w:t>
      </w:r>
    </w:p>
    <w:p w14:paraId="657FD675" w14:textId="2AA0D32A" w:rsidR="0066556A" w:rsidRPr="00997315" w:rsidRDefault="0066556A" w:rsidP="00997315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97315">
        <w:rPr>
          <w:rFonts w:ascii="Helvetica" w:hAnsi="Helvetica" w:cs="Arial"/>
          <w:sz w:val="20"/>
          <w:szCs w:val="24"/>
          <w:lang w:val="lt-LT"/>
        </w:rPr>
        <w:t xml:space="preserve">esamas bendras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tetrabenazino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 xml:space="preserve"> paros kiekis yra </w:t>
      </w:r>
      <w:r w:rsidR="00CE7EE3" w:rsidRPr="00997315">
        <w:rPr>
          <w:rFonts w:ascii="Helvetica" w:hAnsi="Helvetica" w:cs="Arial"/>
          <w:sz w:val="20"/>
          <w:szCs w:val="24"/>
          <w:lang w:val="lt-LT"/>
        </w:rPr>
        <w:t>maždaug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50 mg,</w:t>
      </w:r>
      <w:r w:rsidR="00854968" w:rsidRPr="00997315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pradinis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deutetrabenazino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 xml:space="preserve"> paros kiekis yra </w:t>
      </w:r>
      <w:r w:rsidR="00CE7EE3" w:rsidRPr="00997315">
        <w:rPr>
          <w:rFonts w:ascii="Helvetica" w:hAnsi="Helvetica" w:cs="Arial"/>
          <w:sz w:val="20"/>
          <w:szCs w:val="24"/>
          <w:lang w:val="lt-LT"/>
        </w:rPr>
        <w:t>maždaug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24 mg;</w:t>
      </w:r>
    </w:p>
    <w:p w14:paraId="74532CB4" w14:textId="655C9D1F" w:rsidR="0066556A" w:rsidRPr="00997315" w:rsidRDefault="0066556A" w:rsidP="00997315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97315">
        <w:rPr>
          <w:rFonts w:ascii="Helvetica" w:hAnsi="Helvetica" w:cs="Arial"/>
          <w:sz w:val="20"/>
          <w:szCs w:val="24"/>
          <w:lang w:val="lt-LT"/>
        </w:rPr>
        <w:t xml:space="preserve">esamas bendras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tetrabenazino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 xml:space="preserve"> paros kiekis yra </w:t>
      </w:r>
      <w:r w:rsidR="00CE7EE3" w:rsidRPr="00997315">
        <w:rPr>
          <w:rFonts w:ascii="Helvetica" w:hAnsi="Helvetica" w:cs="Arial"/>
          <w:sz w:val="20"/>
          <w:szCs w:val="24"/>
          <w:lang w:val="lt-LT"/>
        </w:rPr>
        <w:t>maždaug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62,5 mg,</w:t>
      </w:r>
      <w:r w:rsidR="00854968" w:rsidRPr="00997315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pradinis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deutetrabenazino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 xml:space="preserve"> paros kiekis yra </w:t>
      </w:r>
      <w:r w:rsidR="00CE7EE3" w:rsidRPr="00997315">
        <w:rPr>
          <w:rFonts w:ascii="Helvetica" w:hAnsi="Helvetica" w:cs="Arial"/>
          <w:sz w:val="20"/>
          <w:szCs w:val="24"/>
          <w:lang w:val="lt-LT"/>
        </w:rPr>
        <w:t>maždaug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30 mg;</w:t>
      </w:r>
    </w:p>
    <w:p w14:paraId="35E6EC4E" w14:textId="22D79442" w:rsidR="0066556A" w:rsidRPr="00997315" w:rsidRDefault="0066556A" w:rsidP="00997315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97315">
        <w:rPr>
          <w:rFonts w:ascii="Helvetica" w:hAnsi="Helvetica" w:cs="Arial"/>
          <w:sz w:val="20"/>
          <w:szCs w:val="24"/>
          <w:lang w:val="lt-LT"/>
        </w:rPr>
        <w:t xml:space="preserve">esamas bendras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tetrabenazino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 xml:space="preserve"> paros kiekis yra </w:t>
      </w:r>
      <w:r w:rsidR="00CE7EE3" w:rsidRPr="00997315">
        <w:rPr>
          <w:rFonts w:ascii="Helvetica" w:hAnsi="Helvetica" w:cs="Arial"/>
          <w:sz w:val="20"/>
          <w:szCs w:val="24"/>
          <w:lang w:val="lt-LT"/>
        </w:rPr>
        <w:t>maždaug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75 mg,</w:t>
      </w:r>
      <w:r w:rsidR="00854968" w:rsidRPr="00997315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pradinis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deutetrabenazino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 xml:space="preserve"> paros kiekis yra </w:t>
      </w:r>
      <w:r w:rsidR="00CE7EE3" w:rsidRPr="00997315">
        <w:rPr>
          <w:rFonts w:ascii="Helvetica" w:hAnsi="Helvetica" w:cs="Arial"/>
          <w:sz w:val="20"/>
          <w:szCs w:val="24"/>
          <w:lang w:val="lt-LT"/>
        </w:rPr>
        <w:t>maždaug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36 mg;</w:t>
      </w:r>
    </w:p>
    <w:p w14:paraId="77042A00" w14:textId="3C108524" w:rsidR="0066556A" w:rsidRPr="00997315" w:rsidRDefault="0066556A" w:rsidP="00997315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97315">
        <w:rPr>
          <w:rFonts w:ascii="Helvetica" w:hAnsi="Helvetica" w:cs="Arial"/>
          <w:sz w:val="20"/>
          <w:szCs w:val="24"/>
          <w:lang w:val="lt-LT"/>
        </w:rPr>
        <w:t xml:space="preserve">esamas bendras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tetrabenazino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 xml:space="preserve"> paros kiekis yra </w:t>
      </w:r>
      <w:r w:rsidR="00CE7EE3" w:rsidRPr="00997315">
        <w:rPr>
          <w:rFonts w:ascii="Helvetica" w:hAnsi="Helvetica" w:cs="Arial"/>
          <w:sz w:val="20"/>
          <w:szCs w:val="24"/>
          <w:lang w:val="lt-LT"/>
        </w:rPr>
        <w:t>maždaug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87,5 mg,</w:t>
      </w:r>
      <w:r w:rsidR="00854968" w:rsidRPr="00997315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pradinis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deutetrabenazino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 xml:space="preserve"> paros kiekis yra </w:t>
      </w:r>
      <w:r w:rsidR="00CE7EE3" w:rsidRPr="00997315">
        <w:rPr>
          <w:rFonts w:ascii="Helvetica" w:hAnsi="Helvetica" w:cs="Arial"/>
          <w:sz w:val="20"/>
          <w:szCs w:val="24"/>
          <w:lang w:val="lt-LT"/>
        </w:rPr>
        <w:t>maždaug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42 mg; arba</w:t>
      </w:r>
    </w:p>
    <w:p w14:paraId="75CC2EA5" w14:textId="3BBB0137" w:rsidR="0066556A" w:rsidRPr="00997315" w:rsidRDefault="0066556A" w:rsidP="00997315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97315">
        <w:rPr>
          <w:rFonts w:ascii="Helvetica" w:hAnsi="Helvetica" w:cs="Arial"/>
          <w:sz w:val="20"/>
          <w:szCs w:val="24"/>
          <w:lang w:val="lt-LT"/>
        </w:rPr>
        <w:lastRenderedPageBreak/>
        <w:t xml:space="preserve">esamas bendras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tetrabenazino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 xml:space="preserve"> paros kiekis yra </w:t>
      </w:r>
      <w:r w:rsidR="00CE7EE3" w:rsidRPr="00997315">
        <w:rPr>
          <w:rFonts w:ascii="Helvetica" w:hAnsi="Helvetica" w:cs="Arial"/>
          <w:sz w:val="20"/>
          <w:szCs w:val="24"/>
          <w:lang w:val="lt-LT"/>
        </w:rPr>
        <w:t>maždaug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100 mg,</w:t>
      </w:r>
      <w:r w:rsidR="00854968" w:rsidRPr="00997315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pradinis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deutetrabenazino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 xml:space="preserve"> paros kiekis yra </w:t>
      </w:r>
      <w:r w:rsidR="00CE7EE3" w:rsidRPr="00997315">
        <w:rPr>
          <w:rFonts w:ascii="Helvetica" w:hAnsi="Helvetica" w:cs="Arial"/>
          <w:sz w:val="20"/>
          <w:szCs w:val="24"/>
          <w:lang w:val="lt-LT"/>
        </w:rPr>
        <w:t>maždaug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48 mg.</w:t>
      </w:r>
    </w:p>
    <w:p w14:paraId="5ACC045C" w14:textId="77777777" w:rsidR="00B742C1" w:rsidRPr="00997315" w:rsidRDefault="00B742C1" w:rsidP="00997315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7811559" w14:textId="056907E8" w:rsidR="0066556A" w:rsidRPr="00997315" w:rsidRDefault="0066556A" w:rsidP="0099731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97315">
        <w:rPr>
          <w:rFonts w:ascii="Helvetica" w:hAnsi="Helvetica" w:cs="Arial"/>
          <w:sz w:val="20"/>
          <w:szCs w:val="24"/>
          <w:lang w:val="lt-LT"/>
        </w:rPr>
        <w:t>19.</w:t>
      </w:r>
      <w:r w:rsidR="00B742C1" w:rsidRPr="00997315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Deutetrabenazinas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 xml:space="preserve"> arba kompozicija, apimanti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deutetrabenaziną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>, skirt</w:t>
      </w:r>
      <w:r w:rsidR="007866B1" w:rsidRPr="00997315">
        <w:rPr>
          <w:rFonts w:ascii="Helvetica" w:hAnsi="Helvetica" w:cs="Arial"/>
          <w:sz w:val="20"/>
          <w:szCs w:val="24"/>
          <w:lang w:val="lt-LT"/>
        </w:rPr>
        <w:t>i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naudoti pagal bet kurį iš 10</w:t>
      </w:r>
      <w:r w:rsidR="00B742C1" w:rsidRPr="00997315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97315">
        <w:rPr>
          <w:rFonts w:ascii="Helvetica" w:hAnsi="Helvetica" w:cs="Arial"/>
          <w:sz w:val="20"/>
          <w:szCs w:val="24"/>
          <w:lang w:val="lt-LT"/>
        </w:rPr>
        <w:t>-</w:t>
      </w:r>
      <w:r w:rsidR="00B742C1" w:rsidRPr="00997315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18 punktų, kur </w:t>
      </w:r>
      <w:r w:rsidR="00B742C1" w:rsidRPr="00997315">
        <w:rPr>
          <w:rFonts w:ascii="Helvetica" w:hAnsi="Helvetica" w:cs="Arial"/>
          <w:sz w:val="20"/>
          <w:szCs w:val="24"/>
          <w:lang w:val="lt-LT"/>
        </w:rPr>
        <w:t>subjektui įvedamas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deutetrabenazino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E7EE3" w:rsidRPr="00997315">
        <w:rPr>
          <w:rFonts w:ascii="Helvetica" w:hAnsi="Helvetica" w:cs="Arial"/>
          <w:sz w:val="20"/>
          <w:szCs w:val="24"/>
          <w:lang w:val="lt-LT"/>
        </w:rPr>
        <w:t>paros kiekis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yra mažesnis arba lygus maždaug 48 mg arba mažesnis arba lygus maždaug 36 mg</w:t>
      </w:r>
      <w:r w:rsidR="00B742C1" w:rsidRPr="00997315">
        <w:rPr>
          <w:rFonts w:ascii="Helvetica" w:hAnsi="Helvetica" w:cs="Arial"/>
          <w:sz w:val="20"/>
          <w:szCs w:val="24"/>
          <w:lang w:val="lt-LT"/>
        </w:rPr>
        <w:t>,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kartu vartojant stiprų CYP2D6 inhibitorių.</w:t>
      </w:r>
    </w:p>
    <w:p w14:paraId="20368296" w14:textId="77777777" w:rsidR="00B742C1" w:rsidRPr="00997315" w:rsidRDefault="00B742C1" w:rsidP="00997315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2D93432" w14:textId="355C8D70" w:rsidR="0066556A" w:rsidRPr="00997315" w:rsidRDefault="0066556A" w:rsidP="0099731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97315">
        <w:rPr>
          <w:rFonts w:ascii="Helvetica" w:hAnsi="Helvetica" w:cs="Arial"/>
          <w:sz w:val="20"/>
          <w:szCs w:val="24"/>
          <w:lang w:val="lt-LT"/>
        </w:rPr>
        <w:t>20.</w:t>
      </w:r>
      <w:r w:rsidR="00B742C1" w:rsidRPr="00997315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Deutetrabenazinas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 xml:space="preserve"> arba kompozicija, apimanti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deutetrabenaziną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>, skirt</w:t>
      </w:r>
      <w:r w:rsidR="00C42BDE" w:rsidRPr="00997315">
        <w:rPr>
          <w:rFonts w:ascii="Helvetica" w:hAnsi="Helvetica" w:cs="Arial"/>
          <w:sz w:val="20"/>
          <w:szCs w:val="24"/>
          <w:lang w:val="lt-LT"/>
        </w:rPr>
        <w:t>i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naudoti pagal bet kurį iš 10</w:t>
      </w:r>
      <w:r w:rsidR="00B742C1" w:rsidRPr="00997315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97315">
        <w:rPr>
          <w:rFonts w:ascii="Helvetica" w:hAnsi="Helvetica" w:cs="Arial"/>
          <w:sz w:val="20"/>
          <w:szCs w:val="24"/>
          <w:lang w:val="lt-LT"/>
        </w:rPr>
        <w:t>-</w:t>
      </w:r>
      <w:r w:rsidR="00B742C1" w:rsidRPr="00997315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97315">
        <w:rPr>
          <w:rFonts w:ascii="Helvetica" w:hAnsi="Helvetica" w:cs="Arial"/>
          <w:sz w:val="20"/>
          <w:szCs w:val="24"/>
          <w:lang w:val="lt-LT"/>
        </w:rPr>
        <w:t>19 punktų, kur nenormalus nevalingas jud</w:t>
      </w:r>
      <w:r w:rsidR="00B742C1" w:rsidRPr="00997315">
        <w:rPr>
          <w:rFonts w:ascii="Helvetica" w:hAnsi="Helvetica" w:cs="Arial"/>
          <w:sz w:val="20"/>
          <w:szCs w:val="24"/>
          <w:lang w:val="lt-LT"/>
        </w:rPr>
        <w:t>ėjimas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yra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chorėja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 xml:space="preserve">, susijusi su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Hantingtono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 xml:space="preserve"> liga, ir kur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chorėja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 xml:space="preserve"> yra sumažinta </w:t>
      </w:r>
      <w:r w:rsidR="001656FC" w:rsidRPr="00997315">
        <w:rPr>
          <w:rFonts w:ascii="Helvetica" w:hAnsi="Helvetica" w:cs="Arial"/>
          <w:sz w:val="20"/>
          <w:szCs w:val="24"/>
          <w:lang w:val="lt-LT"/>
        </w:rPr>
        <w:t>bent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0,5 balo, </w:t>
      </w:r>
      <w:r w:rsidR="00B742C1" w:rsidRPr="00997315">
        <w:rPr>
          <w:rFonts w:ascii="Helvetica" w:hAnsi="Helvetica" w:cs="Arial"/>
          <w:sz w:val="20"/>
          <w:szCs w:val="24"/>
          <w:lang w:val="lt-LT"/>
        </w:rPr>
        <w:t xml:space="preserve">kaip 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išmatuota pagal </w:t>
      </w:r>
      <w:r w:rsidR="00A14A78" w:rsidRPr="00997315">
        <w:rPr>
          <w:rFonts w:ascii="Helvetica" w:hAnsi="Helvetica" w:cs="Arial"/>
          <w:sz w:val="20"/>
          <w:szCs w:val="24"/>
          <w:lang w:val="lt-LT"/>
        </w:rPr>
        <w:t xml:space="preserve">vieningos </w:t>
      </w:r>
      <w:proofErr w:type="spellStart"/>
      <w:r w:rsidR="00A14A78" w:rsidRPr="00997315">
        <w:rPr>
          <w:rFonts w:ascii="Helvetica" w:hAnsi="Helvetica" w:cs="Arial"/>
          <w:sz w:val="20"/>
          <w:szCs w:val="24"/>
          <w:lang w:val="lt-LT"/>
        </w:rPr>
        <w:t>Hantingtono</w:t>
      </w:r>
      <w:proofErr w:type="spellEnd"/>
      <w:r w:rsidR="00A14A78" w:rsidRPr="00997315">
        <w:rPr>
          <w:rFonts w:ascii="Helvetica" w:hAnsi="Helvetica" w:cs="Arial"/>
          <w:sz w:val="20"/>
          <w:szCs w:val="24"/>
          <w:lang w:val="lt-LT"/>
        </w:rPr>
        <w:t xml:space="preserve"> ligos vertinimo skalės (UHDRS) </w:t>
      </w:r>
      <w:r w:rsidRPr="00997315">
        <w:rPr>
          <w:rFonts w:ascii="Helvetica" w:hAnsi="Helvetica" w:cs="Arial"/>
          <w:sz w:val="20"/>
          <w:szCs w:val="24"/>
          <w:lang w:val="lt-LT"/>
        </w:rPr>
        <w:t>bendrą maksima</w:t>
      </w:r>
      <w:r w:rsidR="00A14A78" w:rsidRPr="00997315">
        <w:rPr>
          <w:rFonts w:ascii="Helvetica" w:hAnsi="Helvetica" w:cs="Arial"/>
          <w:sz w:val="20"/>
          <w:szCs w:val="24"/>
          <w:lang w:val="lt-LT"/>
        </w:rPr>
        <w:t>lų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chorėj</w:t>
      </w:r>
      <w:r w:rsidR="00A14A78" w:rsidRPr="00997315">
        <w:rPr>
          <w:rFonts w:ascii="Helvetica" w:hAnsi="Helvetica" w:cs="Arial"/>
          <w:sz w:val="20"/>
          <w:szCs w:val="24"/>
          <w:lang w:val="lt-LT"/>
        </w:rPr>
        <w:t>os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 xml:space="preserve"> (TMC) bal</w:t>
      </w:r>
      <w:r w:rsidR="00A14A78" w:rsidRPr="00997315">
        <w:rPr>
          <w:rFonts w:ascii="Helvetica" w:hAnsi="Helvetica" w:cs="Arial"/>
          <w:sz w:val="20"/>
          <w:szCs w:val="24"/>
          <w:lang w:val="lt-LT"/>
        </w:rPr>
        <w:t>ą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; pageidautina, kad TMC balo sumažėjimas būtų bent 1 balas; </w:t>
      </w:r>
      <w:r w:rsidR="00F00B6D" w:rsidRPr="00997315">
        <w:rPr>
          <w:rFonts w:ascii="Helvetica" w:hAnsi="Helvetica" w:cs="Arial"/>
          <w:sz w:val="20"/>
          <w:szCs w:val="24"/>
          <w:lang w:val="lt-LT"/>
        </w:rPr>
        <w:t>bent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1,5 balo; </w:t>
      </w:r>
      <w:r w:rsidR="00F00B6D" w:rsidRPr="00997315">
        <w:rPr>
          <w:rFonts w:ascii="Helvetica" w:hAnsi="Helvetica" w:cs="Arial"/>
          <w:sz w:val="20"/>
          <w:szCs w:val="24"/>
          <w:lang w:val="lt-LT"/>
        </w:rPr>
        <w:t>bent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2 balai; </w:t>
      </w:r>
      <w:r w:rsidR="001656FC" w:rsidRPr="00997315">
        <w:rPr>
          <w:rFonts w:ascii="Helvetica" w:hAnsi="Helvetica" w:cs="Arial"/>
          <w:sz w:val="20"/>
          <w:szCs w:val="24"/>
          <w:lang w:val="lt-LT"/>
        </w:rPr>
        <w:t>bent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2,5 balo</w:t>
      </w:r>
      <w:r w:rsidR="00A14A78" w:rsidRPr="00997315">
        <w:rPr>
          <w:rFonts w:ascii="Helvetica" w:hAnsi="Helvetica" w:cs="Arial"/>
          <w:sz w:val="20"/>
          <w:szCs w:val="24"/>
          <w:lang w:val="lt-LT"/>
        </w:rPr>
        <w:t>,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arba k</w:t>
      </w:r>
      <w:r w:rsidR="00A14A78" w:rsidRPr="00997315">
        <w:rPr>
          <w:rFonts w:ascii="Helvetica" w:hAnsi="Helvetica" w:cs="Arial"/>
          <w:sz w:val="20"/>
          <w:szCs w:val="24"/>
          <w:lang w:val="lt-LT"/>
        </w:rPr>
        <w:t xml:space="preserve">ur </w:t>
      </w:r>
      <w:r w:rsidRPr="00997315">
        <w:rPr>
          <w:rFonts w:ascii="Helvetica" w:hAnsi="Helvetica" w:cs="Arial"/>
          <w:sz w:val="20"/>
          <w:szCs w:val="24"/>
          <w:lang w:val="lt-LT"/>
        </w:rPr>
        <w:t>nenormalus nevalingas jud</w:t>
      </w:r>
      <w:r w:rsidR="00A14A78" w:rsidRPr="00997315">
        <w:rPr>
          <w:rFonts w:ascii="Helvetica" w:hAnsi="Helvetica" w:cs="Arial"/>
          <w:sz w:val="20"/>
          <w:szCs w:val="24"/>
          <w:lang w:val="lt-LT"/>
        </w:rPr>
        <w:t>ėjimas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yra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chorėja</w:t>
      </w:r>
      <w:proofErr w:type="spellEnd"/>
      <w:r w:rsidR="00A14A78" w:rsidRPr="00997315">
        <w:rPr>
          <w:rFonts w:ascii="Helvetica" w:hAnsi="Helvetica" w:cs="Arial"/>
          <w:sz w:val="20"/>
          <w:szCs w:val="24"/>
          <w:lang w:val="lt-LT"/>
        </w:rPr>
        <w:t>,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ir k</w:t>
      </w:r>
      <w:r w:rsidR="00A14A78" w:rsidRPr="00997315">
        <w:rPr>
          <w:rFonts w:ascii="Helvetica" w:hAnsi="Helvetica" w:cs="Arial"/>
          <w:sz w:val="20"/>
          <w:szCs w:val="24"/>
          <w:lang w:val="lt-LT"/>
        </w:rPr>
        <w:t>ur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chorėja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14A78" w:rsidRPr="00997315">
        <w:rPr>
          <w:rFonts w:ascii="Helvetica" w:hAnsi="Helvetica" w:cs="Arial"/>
          <w:sz w:val="20"/>
          <w:szCs w:val="24"/>
          <w:lang w:val="lt-LT"/>
        </w:rPr>
        <w:t xml:space="preserve">yra </w:t>
      </w:r>
      <w:r w:rsidRPr="00997315">
        <w:rPr>
          <w:rFonts w:ascii="Helvetica" w:hAnsi="Helvetica" w:cs="Arial"/>
          <w:sz w:val="20"/>
          <w:szCs w:val="24"/>
          <w:lang w:val="lt-LT"/>
        </w:rPr>
        <w:t>sumaž</w:t>
      </w:r>
      <w:r w:rsidR="00A14A78" w:rsidRPr="00997315">
        <w:rPr>
          <w:rFonts w:ascii="Helvetica" w:hAnsi="Helvetica" w:cs="Arial"/>
          <w:sz w:val="20"/>
          <w:szCs w:val="24"/>
          <w:lang w:val="lt-LT"/>
        </w:rPr>
        <w:t>inta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1656FC" w:rsidRPr="00997315">
        <w:rPr>
          <w:rFonts w:ascii="Helvetica" w:hAnsi="Helvetica" w:cs="Arial"/>
          <w:sz w:val="20"/>
          <w:szCs w:val="24"/>
          <w:lang w:val="lt-LT"/>
        </w:rPr>
        <w:t>bent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10 %; </w:t>
      </w:r>
      <w:r w:rsidR="00A14A78" w:rsidRPr="00997315">
        <w:rPr>
          <w:rFonts w:ascii="Helvetica" w:hAnsi="Helvetica" w:cs="Arial"/>
          <w:sz w:val="20"/>
          <w:szCs w:val="24"/>
          <w:lang w:val="lt-LT"/>
        </w:rPr>
        <w:t>bent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15 %; </w:t>
      </w:r>
      <w:r w:rsidR="00A14A78" w:rsidRPr="00997315">
        <w:rPr>
          <w:rFonts w:ascii="Helvetica" w:hAnsi="Helvetica" w:cs="Arial"/>
          <w:sz w:val="20"/>
          <w:szCs w:val="24"/>
          <w:lang w:val="lt-LT"/>
        </w:rPr>
        <w:t>bent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20 </w:t>
      </w:r>
      <w:r w:rsidR="00A14A78" w:rsidRPr="00997315">
        <w:rPr>
          <w:rFonts w:ascii="Helvetica" w:hAnsi="Helvetica" w:cs="Arial"/>
          <w:sz w:val="20"/>
          <w:szCs w:val="24"/>
          <w:lang w:val="lt-LT"/>
        </w:rPr>
        <w:t>%</w:t>
      </w:r>
      <w:r w:rsidRPr="00997315">
        <w:rPr>
          <w:rFonts w:ascii="Helvetica" w:hAnsi="Helvetica" w:cs="Arial"/>
          <w:sz w:val="20"/>
          <w:szCs w:val="24"/>
          <w:lang w:val="lt-LT"/>
        </w:rPr>
        <w:t>.</w:t>
      </w:r>
    </w:p>
    <w:p w14:paraId="3AC339BC" w14:textId="77777777" w:rsidR="00A14A78" w:rsidRPr="00997315" w:rsidRDefault="00A14A78" w:rsidP="00997315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A178880" w14:textId="46364CEA" w:rsidR="0066556A" w:rsidRPr="00997315" w:rsidRDefault="0066556A" w:rsidP="0099731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97315">
        <w:rPr>
          <w:rFonts w:ascii="Helvetica" w:hAnsi="Helvetica" w:cs="Arial"/>
          <w:sz w:val="20"/>
          <w:szCs w:val="24"/>
          <w:lang w:val="lt-LT"/>
        </w:rPr>
        <w:t>21.</w:t>
      </w:r>
      <w:r w:rsidR="00A14A78" w:rsidRPr="00997315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Deutetrabenazinas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 xml:space="preserve"> arba kompozicija, apimanti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deutetrabenaziną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>, skirt</w:t>
      </w:r>
      <w:r w:rsidR="00C42BDE" w:rsidRPr="00997315">
        <w:rPr>
          <w:rFonts w:ascii="Helvetica" w:hAnsi="Helvetica" w:cs="Arial"/>
          <w:sz w:val="20"/>
          <w:szCs w:val="24"/>
          <w:lang w:val="lt-LT"/>
        </w:rPr>
        <w:t>i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naudoti pagal bet kurį iš 10</w:t>
      </w:r>
      <w:r w:rsidR="00A14A78" w:rsidRPr="00997315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97315">
        <w:rPr>
          <w:rFonts w:ascii="Helvetica" w:hAnsi="Helvetica" w:cs="Arial"/>
          <w:sz w:val="20"/>
          <w:szCs w:val="24"/>
          <w:lang w:val="lt-LT"/>
        </w:rPr>
        <w:t>-</w:t>
      </w:r>
      <w:r w:rsidR="00A14A78" w:rsidRPr="00997315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20 punktų, kur gydymas reikšmingai nekeičia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QTcF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14A78" w:rsidRPr="00997315">
        <w:rPr>
          <w:rFonts w:ascii="Helvetica" w:hAnsi="Helvetica" w:cs="Arial"/>
          <w:sz w:val="20"/>
          <w:szCs w:val="24"/>
          <w:lang w:val="lt-LT"/>
        </w:rPr>
        <w:t>vertės</w:t>
      </w:r>
      <w:r w:rsidRPr="00997315">
        <w:rPr>
          <w:rFonts w:ascii="Helvetica" w:hAnsi="Helvetica" w:cs="Arial"/>
          <w:sz w:val="20"/>
          <w:szCs w:val="24"/>
          <w:lang w:val="lt-LT"/>
        </w:rPr>
        <w:t>.</w:t>
      </w:r>
    </w:p>
    <w:p w14:paraId="5D0FFFBE" w14:textId="77777777" w:rsidR="00A14A78" w:rsidRPr="00997315" w:rsidRDefault="00A14A78" w:rsidP="00997315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ECA5064" w14:textId="3C29B806" w:rsidR="0066556A" w:rsidRPr="00997315" w:rsidRDefault="0066556A" w:rsidP="0099731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97315">
        <w:rPr>
          <w:rFonts w:ascii="Helvetica" w:hAnsi="Helvetica" w:cs="Arial"/>
          <w:sz w:val="20"/>
          <w:szCs w:val="24"/>
          <w:lang w:val="lt-LT"/>
        </w:rPr>
        <w:t>22.</w:t>
      </w:r>
      <w:r w:rsidR="00A14A78" w:rsidRPr="00997315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Deutetrabenazinas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 xml:space="preserve"> arba kompozicija, apimanti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deutetrabenaziną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340BBA" w:rsidRPr="00997315">
        <w:rPr>
          <w:rFonts w:ascii="Helvetica" w:hAnsi="Helvetica" w:cs="Arial"/>
          <w:sz w:val="20"/>
          <w:szCs w:val="24"/>
          <w:lang w:val="lt-LT"/>
        </w:rPr>
        <w:t>skirti naudoti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pagal bet kurį ankstesnį punktą, kur nenormalaus nevalingo jud</w:t>
      </w:r>
      <w:r w:rsidR="00A14A78" w:rsidRPr="00997315">
        <w:rPr>
          <w:rFonts w:ascii="Helvetica" w:hAnsi="Helvetica" w:cs="Arial"/>
          <w:sz w:val="20"/>
          <w:szCs w:val="24"/>
          <w:lang w:val="lt-LT"/>
        </w:rPr>
        <w:t>ėjimo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gydymas apima nenormal</w:t>
      </w:r>
      <w:r w:rsidR="00A14A78" w:rsidRPr="00997315">
        <w:rPr>
          <w:rFonts w:ascii="Helvetica" w:hAnsi="Helvetica" w:cs="Arial"/>
          <w:sz w:val="20"/>
          <w:szCs w:val="24"/>
          <w:lang w:val="lt-LT"/>
        </w:rPr>
        <w:t>aus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nevaling</w:t>
      </w:r>
      <w:r w:rsidR="002176AB" w:rsidRPr="00997315">
        <w:rPr>
          <w:rFonts w:ascii="Helvetica" w:hAnsi="Helvetica" w:cs="Arial"/>
          <w:sz w:val="20"/>
          <w:szCs w:val="24"/>
          <w:lang w:val="lt-LT"/>
        </w:rPr>
        <w:t>o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jud</w:t>
      </w:r>
      <w:r w:rsidR="002176AB" w:rsidRPr="00997315">
        <w:rPr>
          <w:rFonts w:ascii="Helvetica" w:hAnsi="Helvetica" w:cs="Arial"/>
          <w:sz w:val="20"/>
          <w:szCs w:val="24"/>
          <w:lang w:val="lt-LT"/>
        </w:rPr>
        <w:t>ėjimo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kontrolės palaikymą žmogui, turinčiam judėjimo sutrikimą, apimantį </w:t>
      </w:r>
      <w:r w:rsidR="002176AB" w:rsidRPr="00997315">
        <w:rPr>
          <w:rFonts w:ascii="Helvetica" w:hAnsi="Helvetica" w:cs="Arial"/>
          <w:sz w:val="20"/>
          <w:szCs w:val="24"/>
          <w:lang w:val="lt-LT"/>
        </w:rPr>
        <w:t xml:space="preserve">įvedimą subjektui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terapiškai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 xml:space="preserve"> veiksmingo</w:t>
      </w:r>
      <w:r w:rsidR="002176AB" w:rsidRPr="00997315">
        <w:rPr>
          <w:rFonts w:ascii="Helvetica" w:hAnsi="Helvetica" w:cs="Arial"/>
          <w:sz w:val="20"/>
          <w:szCs w:val="24"/>
          <w:lang w:val="lt-LT"/>
        </w:rPr>
        <w:t>s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2176AB" w:rsidRPr="00997315">
        <w:rPr>
          <w:rFonts w:ascii="Helvetica" w:hAnsi="Helvetica" w:cs="Arial"/>
          <w:sz w:val="20"/>
          <w:szCs w:val="24"/>
          <w:lang w:val="lt-LT"/>
        </w:rPr>
        <w:t>deutetrabenazino</w:t>
      </w:r>
      <w:proofErr w:type="spellEnd"/>
      <w:r w:rsidR="002176AB" w:rsidRPr="00997315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97315">
        <w:rPr>
          <w:rFonts w:ascii="Helvetica" w:hAnsi="Helvetica" w:cs="Arial"/>
          <w:sz w:val="20"/>
          <w:szCs w:val="24"/>
          <w:lang w:val="lt-LT"/>
        </w:rPr>
        <w:t>paros dozės tiek laiko, kiek pakanka atlikti vieną</w:t>
      </w:r>
      <w:r w:rsidR="001656FC" w:rsidRPr="00997315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Pr="00997315">
        <w:rPr>
          <w:rFonts w:ascii="Helvetica" w:hAnsi="Helvetica" w:cs="Arial"/>
          <w:sz w:val="20"/>
          <w:szCs w:val="24"/>
          <w:lang w:val="lt-LT"/>
        </w:rPr>
        <w:t>daugiau iš šių veiksmų: sumažinti chorėją bent 10 %; pagerinti motorinę funkciją bent 10</w:t>
      </w:r>
      <w:r w:rsidR="002176AB" w:rsidRPr="00997315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%; pagerinti fizinį funkcionavimą; pagerinti rijimą; pagerinti pusiausvyrą; sumažinti nenormalius nevalingus </w:t>
      </w:r>
      <w:r w:rsidR="002176AB" w:rsidRPr="00997315">
        <w:rPr>
          <w:rFonts w:ascii="Helvetica" w:hAnsi="Helvetica" w:cs="Arial"/>
          <w:sz w:val="20"/>
          <w:szCs w:val="24"/>
          <w:lang w:val="lt-LT"/>
        </w:rPr>
        <w:t xml:space="preserve">subjekto 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judesius, sergantiems vėlyvąja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diskinezija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 xml:space="preserve">; arba </w:t>
      </w:r>
      <w:r w:rsidR="002176AB" w:rsidRPr="00997315">
        <w:rPr>
          <w:rFonts w:ascii="Helvetica" w:hAnsi="Helvetica" w:cs="Arial"/>
          <w:sz w:val="20"/>
          <w:szCs w:val="24"/>
          <w:lang w:val="lt-LT"/>
        </w:rPr>
        <w:t>žymiai</w:t>
      </w:r>
      <w:r w:rsidR="001656FC" w:rsidRPr="00997315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Pr="00997315">
        <w:rPr>
          <w:rFonts w:ascii="Helvetica" w:hAnsi="Helvetica" w:cs="Arial"/>
          <w:sz w:val="20"/>
          <w:szCs w:val="24"/>
          <w:lang w:val="lt-LT"/>
        </w:rPr>
        <w:t>labai</w:t>
      </w:r>
      <w:r w:rsidR="002176AB" w:rsidRPr="00997315">
        <w:rPr>
          <w:rFonts w:ascii="Helvetica" w:hAnsi="Helvetica" w:cs="Arial"/>
          <w:sz w:val="20"/>
          <w:szCs w:val="24"/>
          <w:lang w:val="lt-LT"/>
        </w:rPr>
        <w:t xml:space="preserve"> žymiai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pagerinti </w:t>
      </w:r>
      <w:r w:rsidR="009D7510" w:rsidRPr="00997315">
        <w:rPr>
          <w:rFonts w:ascii="Helvetica" w:hAnsi="Helvetica" w:cs="Arial"/>
          <w:sz w:val="20"/>
          <w:szCs w:val="24"/>
          <w:lang w:val="lt-LT"/>
        </w:rPr>
        <w:t>subjekto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9D7510" w:rsidRPr="00997315">
        <w:rPr>
          <w:rFonts w:ascii="Helvetica" w:hAnsi="Helvetica" w:cs="Arial"/>
          <w:sz w:val="20"/>
          <w:szCs w:val="24"/>
          <w:lang w:val="lt-LT"/>
        </w:rPr>
        <w:t>klinikinio įspūdžio apie pokyčius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įspūdį.</w:t>
      </w:r>
    </w:p>
    <w:p w14:paraId="32FA06B8" w14:textId="77777777" w:rsidR="009D7510" w:rsidRPr="00997315" w:rsidRDefault="009D7510" w:rsidP="00997315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D0DF597" w14:textId="04A45246" w:rsidR="0066556A" w:rsidRPr="00997315" w:rsidRDefault="0066556A" w:rsidP="0099731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97315">
        <w:rPr>
          <w:rFonts w:ascii="Helvetica" w:hAnsi="Helvetica" w:cs="Arial"/>
          <w:sz w:val="20"/>
          <w:szCs w:val="24"/>
          <w:lang w:val="lt-LT"/>
        </w:rPr>
        <w:t>23.</w:t>
      </w:r>
      <w:r w:rsidR="009D7510" w:rsidRPr="00997315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Deutetrabenazinas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 xml:space="preserve"> arba kompozicija, apimanti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deutetrabenaziną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>, skirt</w:t>
      </w:r>
      <w:r w:rsidR="00C42BDE" w:rsidRPr="00997315">
        <w:rPr>
          <w:rFonts w:ascii="Helvetica" w:hAnsi="Helvetica" w:cs="Arial"/>
          <w:sz w:val="20"/>
          <w:szCs w:val="24"/>
          <w:lang w:val="lt-LT"/>
        </w:rPr>
        <w:t>i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naudoti pagal bet kurį iš 5</w:t>
      </w:r>
      <w:r w:rsidR="009D7510" w:rsidRPr="00997315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97315">
        <w:rPr>
          <w:rFonts w:ascii="Helvetica" w:hAnsi="Helvetica" w:cs="Arial"/>
          <w:sz w:val="20"/>
          <w:szCs w:val="24"/>
          <w:lang w:val="lt-LT"/>
        </w:rPr>
        <w:t>-</w:t>
      </w:r>
      <w:r w:rsidR="009D7510" w:rsidRPr="00997315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22 punktų, kur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deutetrabenazino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 xml:space="preserve"> paros kiekio padid</w:t>
      </w:r>
      <w:r w:rsidR="009D7510" w:rsidRPr="00997315">
        <w:rPr>
          <w:rFonts w:ascii="Helvetica" w:hAnsi="Helvetica" w:cs="Arial"/>
          <w:sz w:val="20"/>
          <w:szCs w:val="24"/>
          <w:lang w:val="lt-LT"/>
        </w:rPr>
        <w:t>inimas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yra 6 mg arba 12 mg.</w:t>
      </w:r>
    </w:p>
    <w:p w14:paraId="6D62B8FA" w14:textId="77777777" w:rsidR="009D7510" w:rsidRPr="00997315" w:rsidRDefault="009D7510" w:rsidP="00997315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1679255" w14:textId="2231C69D" w:rsidR="0066556A" w:rsidRPr="00997315" w:rsidRDefault="0066556A" w:rsidP="0099731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97315">
        <w:rPr>
          <w:rFonts w:ascii="Helvetica" w:hAnsi="Helvetica" w:cs="Arial"/>
          <w:sz w:val="20"/>
          <w:szCs w:val="24"/>
          <w:lang w:val="lt-LT"/>
        </w:rPr>
        <w:t>24.</w:t>
      </w:r>
      <w:r w:rsidR="009D7510" w:rsidRPr="00997315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Deutetrabenazinas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 xml:space="preserve"> arba kompozicija, apimanti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deutetrabenaziną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 xml:space="preserve">, skirti naudoti pagal 23 punktą, kur </w:t>
      </w:r>
      <w:proofErr w:type="spellStart"/>
      <w:r w:rsidR="009D7510" w:rsidRPr="00997315">
        <w:rPr>
          <w:rFonts w:ascii="Helvetica" w:hAnsi="Helvetica" w:cs="Arial"/>
          <w:sz w:val="20"/>
          <w:szCs w:val="24"/>
          <w:lang w:val="lt-LT"/>
        </w:rPr>
        <w:t>deutetrabenazino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 xml:space="preserve"> paros kiekio </w:t>
      </w:r>
      <w:r w:rsidR="00AD23B7" w:rsidRPr="00997315">
        <w:rPr>
          <w:rFonts w:ascii="Helvetica" w:hAnsi="Helvetica" w:cs="Arial"/>
          <w:sz w:val="20"/>
          <w:szCs w:val="24"/>
          <w:lang w:val="lt-LT"/>
        </w:rPr>
        <w:t xml:space="preserve">padidinimas </w:t>
      </w:r>
      <w:r w:rsidRPr="00997315">
        <w:rPr>
          <w:rFonts w:ascii="Helvetica" w:hAnsi="Helvetica" w:cs="Arial"/>
          <w:sz w:val="20"/>
          <w:szCs w:val="24"/>
          <w:lang w:val="lt-LT"/>
        </w:rPr>
        <w:t>yra 6 mg.</w:t>
      </w:r>
    </w:p>
    <w:p w14:paraId="2C867FFA" w14:textId="77777777" w:rsidR="00AD23B7" w:rsidRPr="00997315" w:rsidRDefault="00AD23B7" w:rsidP="00997315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B118AEE" w14:textId="287AC582" w:rsidR="0066556A" w:rsidRPr="00997315" w:rsidRDefault="0066556A" w:rsidP="0099731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97315">
        <w:rPr>
          <w:rFonts w:ascii="Helvetica" w:hAnsi="Helvetica" w:cs="Arial"/>
          <w:sz w:val="20"/>
          <w:szCs w:val="24"/>
          <w:lang w:val="lt-LT"/>
        </w:rPr>
        <w:t>25.</w:t>
      </w:r>
      <w:r w:rsidR="00AD23B7" w:rsidRPr="00997315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Deutetrabenazinas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 xml:space="preserve"> arba kompozicija, apimanti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deutetrabenaziną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 xml:space="preserve">, skirti naudoti pagal 23 punktą, kur </w:t>
      </w:r>
      <w:proofErr w:type="spellStart"/>
      <w:r w:rsidR="00AD23B7" w:rsidRPr="00997315">
        <w:rPr>
          <w:rFonts w:ascii="Helvetica" w:hAnsi="Helvetica" w:cs="Arial"/>
          <w:sz w:val="20"/>
          <w:szCs w:val="24"/>
          <w:lang w:val="lt-LT"/>
        </w:rPr>
        <w:t>deutetrabenazino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 xml:space="preserve"> paros kiekio </w:t>
      </w:r>
      <w:r w:rsidR="00AD23B7" w:rsidRPr="00997315">
        <w:rPr>
          <w:rFonts w:ascii="Helvetica" w:hAnsi="Helvetica" w:cs="Arial"/>
          <w:sz w:val="20"/>
          <w:szCs w:val="24"/>
          <w:lang w:val="lt-LT"/>
        </w:rPr>
        <w:t xml:space="preserve">padidinimas </w:t>
      </w:r>
      <w:r w:rsidRPr="00997315">
        <w:rPr>
          <w:rFonts w:ascii="Helvetica" w:hAnsi="Helvetica" w:cs="Arial"/>
          <w:sz w:val="20"/>
          <w:szCs w:val="24"/>
          <w:lang w:val="lt-LT"/>
        </w:rPr>
        <w:t>yra 12 mg.</w:t>
      </w:r>
    </w:p>
    <w:p w14:paraId="28A9A9B5" w14:textId="77777777" w:rsidR="00AD23B7" w:rsidRPr="00997315" w:rsidRDefault="00AD23B7" w:rsidP="00997315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F51728E" w14:textId="341ADE51" w:rsidR="0066556A" w:rsidRPr="00997315" w:rsidRDefault="0066556A" w:rsidP="0099731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97315">
        <w:rPr>
          <w:rFonts w:ascii="Helvetica" w:hAnsi="Helvetica" w:cs="Arial"/>
          <w:sz w:val="20"/>
          <w:szCs w:val="24"/>
          <w:lang w:val="lt-LT"/>
        </w:rPr>
        <w:t>26.</w:t>
      </w:r>
      <w:r w:rsidR="00AD23B7" w:rsidRPr="00997315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Deutetrabenazinas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 xml:space="preserve"> arba kompozicija, apimanti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deutetrabenaziną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 xml:space="preserve">, skirti naudoti pagal bet kurį ankstesnį punktą, kur palaikomoji dozė yra </w:t>
      </w:r>
      <w:r w:rsidR="00AD23B7" w:rsidRPr="00997315">
        <w:rPr>
          <w:rFonts w:ascii="Helvetica" w:hAnsi="Helvetica" w:cs="Arial"/>
          <w:sz w:val="20"/>
          <w:szCs w:val="24"/>
          <w:lang w:val="lt-LT"/>
        </w:rPr>
        <w:t>įvedama</w:t>
      </w:r>
      <w:r w:rsidRPr="00997315">
        <w:rPr>
          <w:rFonts w:ascii="Helvetica" w:hAnsi="Helvetica" w:cs="Arial"/>
          <w:sz w:val="20"/>
          <w:szCs w:val="24"/>
          <w:lang w:val="lt-LT"/>
        </w:rPr>
        <w:t>, kai tik pagerėj</w:t>
      </w:r>
      <w:r w:rsidR="00AD23B7" w:rsidRPr="00997315">
        <w:rPr>
          <w:rFonts w:ascii="Helvetica" w:hAnsi="Helvetica" w:cs="Arial"/>
          <w:sz w:val="20"/>
          <w:szCs w:val="24"/>
          <w:lang w:val="lt-LT"/>
        </w:rPr>
        <w:t>a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subjekto būklė.</w:t>
      </w:r>
    </w:p>
    <w:p w14:paraId="05B5130D" w14:textId="77777777" w:rsidR="00AD23B7" w:rsidRPr="00997315" w:rsidRDefault="00AD23B7" w:rsidP="00997315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8B7FC8B" w14:textId="74FBAE63" w:rsidR="0066556A" w:rsidRPr="00997315" w:rsidRDefault="0066556A" w:rsidP="0099731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97315">
        <w:rPr>
          <w:rFonts w:ascii="Helvetica" w:hAnsi="Helvetica" w:cs="Arial"/>
          <w:sz w:val="20"/>
          <w:szCs w:val="24"/>
          <w:lang w:val="lt-LT"/>
        </w:rPr>
        <w:t>27.</w:t>
      </w:r>
      <w:r w:rsidR="00AD23B7" w:rsidRPr="00997315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Deutetrabenazinas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 xml:space="preserve"> arba kompozicija, apimanti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deutetrabenaziną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>, skirt</w:t>
      </w:r>
      <w:r w:rsidR="002B61A1" w:rsidRPr="00997315">
        <w:rPr>
          <w:rFonts w:ascii="Helvetica" w:hAnsi="Helvetica" w:cs="Arial"/>
          <w:sz w:val="20"/>
          <w:szCs w:val="24"/>
          <w:lang w:val="lt-LT"/>
        </w:rPr>
        <w:t>i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naudoti pagal bet kurį iš 1</w:t>
      </w:r>
      <w:r w:rsidR="00AD23B7" w:rsidRPr="00997315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97315">
        <w:rPr>
          <w:rFonts w:ascii="Helvetica" w:hAnsi="Helvetica" w:cs="Arial"/>
          <w:sz w:val="20"/>
          <w:szCs w:val="24"/>
          <w:lang w:val="lt-LT"/>
        </w:rPr>
        <w:t>-</w:t>
      </w:r>
      <w:r w:rsidR="00AD23B7" w:rsidRPr="00997315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97315">
        <w:rPr>
          <w:rFonts w:ascii="Helvetica" w:hAnsi="Helvetica" w:cs="Arial"/>
          <w:sz w:val="20"/>
          <w:szCs w:val="24"/>
          <w:lang w:val="lt-LT"/>
        </w:rPr>
        <w:t>5 arba 10</w:t>
      </w:r>
      <w:r w:rsidR="00AD23B7" w:rsidRPr="00997315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97315">
        <w:rPr>
          <w:rFonts w:ascii="Helvetica" w:hAnsi="Helvetica" w:cs="Arial"/>
          <w:sz w:val="20"/>
          <w:szCs w:val="24"/>
          <w:lang w:val="lt-LT"/>
        </w:rPr>
        <w:t>-</w:t>
      </w:r>
      <w:r w:rsidR="00AD23B7" w:rsidRPr="00997315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14 punktų, kur pradinis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deutetrabenazino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E7EE3" w:rsidRPr="00997315">
        <w:rPr>
          <w:rFonts w:ascii="Helvetica" w:hAnsi="Helvetica" w:cs="Arial"/>
          <w:sz w:val="20"/>
          <w:szCs w:val="24"/>
          <w:lang w:val="lt-LT"/>
        </w:rPr>
        <w:t>paros kiekis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yra skirtas įvesti viena doze arba </w:t>
      </w:r>
      <w:r w:rsidR="00F00B6D" w:rsidRPr="00997315">
        <w:rPr>
          <w:rFonts w:ascii="Helvetica" w:hAnsi="Helvetica" w:cs="Arial"/>
          <w:sz w:val="20"/>
          <w:szCs w:val="24"/>
          <w:lang w:val="lt-LT"/>
        </w:rPr>
        <w:t>dviem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dozėmis.</w:t>
      </w:r>
    </w:p>
    <w:p w14:paraId="2ABC8EAA" w14:textId="77777777" w:rsidR="00AD23B7" w:rsidRPr="00997315" w:rsidRDefault="00AD23B7" w:rsidP="00997315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73F69E6" w14:textId="0EA43ACA" w:rsidR="0066556A" w:rsidRPr="00997315" w:rsidRDefault="0066556A" w:rsidP="0099731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97315">
        <w:rPr>
          <w:rFonts w:ascii="Helvetica" w:hAnsi="Helvetica" w:cs="Arial"/>
          <w:sz w:val="20"/>
          <w:szCs w:val="24"/>
          <w:lang w:val="lt-LT"/>
        </w:rPr>
        <w:t>28.</w:t>
      </w:r>
      <w:r w:rsidR="00AD23B7" w:rsidRPr="00997315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Deutetrabenazinas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 xml:space="preserve"> arba kompozicija, apimanti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deutetrabenaziną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>, skirt</w:t>
      </w:r>
      <w:r w:rsidR="002B61A1" w:rsidRPr="00997315">
        <w:rPr>
          <w:rFonts w:ascii="Helvetica" w:hAnsi="Helvetica" w:cs="Arial"/>
          <w:sz w:val="20"/>
          <w:szCs w:val="24"/>
          <w:lang w:val="lt-LT"/>
        </w:rPr>
        <w:t>i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naudoti pagal bet kurį iš 1</w:t>
      </w:r>
      <w:r w:rsidR="00C224CD" w:rsidRPr="00997315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97315">
        <w:rPr>
          <w:rFonts w:ascii="Helvetica" w:hAnsi="Helvetica" w:cs="Arial"/>
          <w:sz w:val="20"/>
          <w:szCs w:val="24"/>
          <w:lang w:val="lt-LT"/>
        </w:rPr>
        <w:t>-</w:t>
      </w:r>
      <w:r w:rsidR="00C224CD" w:rsidRPr="00997315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97315">
        <w:rPr>
          <w:rFonts w:ascii="Helvetica" w:hAnsi="Helvetica" w:cs="Arial"/>
          <w:sz w:val="20"/>
          <w:szCs w:val="24"/>
          <w:lang w:val="lt-LT"/>
        </w:rPr>
        <w:t>5 arba 10</w:t>
      </w:r>
      <w:r w:rsidR="00C224CD" w:rsidRPr="00997315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97315">
        <w:rPr>
          <w:rFonts w:ascii="Helvetica" w:hAnsi="Helvetica" w:cs="Arial"/>
          <w:sz w:val="20"/>
          <w:szCs w:val="24"/>
          <w:lang w:val="lt-LT"/>
        </w:rPr>
        <w:t>-</w:t>
      </w:r>
      <w:r w:rsidR="00C224CD" w:rsidRPr="00997315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14 punktų, kur pradinis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deutetrabenazino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E7EE3" w:rsidRPr="00997315">
        <w:rPr>
          <w:rFonts w:ascii="Helvetica" w:hAnsi="Helvetica" w:cs="Arial"/>
          <w:sz w:val="20"/>
          <w:szCs w:val="24"/>
          <w:lang w:val="lt-LT"/>
        </w:rPr>
        <w:t>paros kiekis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yra skirtas įvesti viena doze.</w:t>
      </w:r>
    </w:p>
    <w:p w14:paraId="0596675F" w14:textId="77777777" w:rsidR="00C224CD" w:rsidRPr="00997315" w:rsidRDefault="00C224CD" w:rsidP="00997315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7F97D11" w14:textId="5E0CEF37" w:rsidR="0066556A" w:rsidRPr="00997315" w:rsidRDefault="0066556A" w:rsidP="0099731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97315">
        <w:rPr>
          <w:rFonts w:ascii="Helvetica" w:hAnsi="Helvetica" w:cs="Arial"/>
          <w:sz w:val="20"/>
          <w:szCs w:val="24"/>
          <w:lang w:val="lt-LT"/>
        </w:rPr>
        <w:lastRenderedPageBreak/>
        <w:t>29.</w:t>
      </w:r>
      <w:r w:rsidR="00C224CD" w:rsidRPr="00997315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Deutetrabenazinas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 xml:space="preserve"> arba kompozicija, apimanti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deutetrabenaziną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>, skirt</w:t>
      </w:r>
      <w:r w:rsidR="002B61A1" w:rsidRPr="00997315">
        <w:rPr>
          <w:rFonts w:ascii="Helvetica" w:hAnsi="Helvetica" w:cs="Arial"/>
          <w:sz w:val="20"/>
          <w:szCs w:val="24"/>
          <w:lang w:val="lt-LT"/>
        </w:rPr>
        <w:t>i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naudoti pagal bet kurį iš 1</w:t>
      </w:r>
      <w:r w:rsidR="00C224CD" w:rsidRPr="00997315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97315">
        <w:rPr>
          <w:rFonts w:ascii="Helvetica" w:hAnsi="Helvetica" w:cs="Arial"/>
          <w:sz w:val="20"/>
          <w:szCs w:val="24"/>
          <w:lang w:val="lt-LT"/>
        </w:rPr>
        <w:t>-</w:t>
      </w:r>
      <w:r w:rsidR="00C224CD" w:rsidRPr="00997315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97315">
        <w:rPr>
          <w:rFonts w:ascii="Helvetica" w:hAnsi="Helvetica" w:cs="Arial"/>
          <w:sz w:val="20"/>
          <w:szCs w:val="24"/>
          <w:lang w:val="lt-LT"/>
        </w:rPr>
        <w:t>5 arba 10</w:t>
      </w:r>
      <w:r w:rsidR="00C224CD" w:rsidRPr="00997315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97315">
        <w:rPr>
          <w:rFonts w:ascii="Helvetica" w:hAnsi="Helvetica" w:cs="Arial"/>
          <w:sz w:val="20"/>
          <w:szCs w:val="24"/>
          <w:lang w:val="lt-LT"/>
        </w:rPr>
        <w:t>-</w:t>
      </w:r>
      <w:r w:rsidR="00C224CD" w:rsidRPr="00997315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14 punktų, kur pradinis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deutetrabenazino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E7EE3" w:rsidRPr="00997315">
        <w:rPr>
          <w:rFonts w:ascii="Helvetica" w:hAnsi="Helvetica" w:cs="Arial"/>
          <w:sz w:val="20"/>
          <w:szCs w:val="24"/>
          <w:lang w:val="lt-LT"/>
        </w:rPr>
        <w:t>paros kiekis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yra skirtas įvesti </w:t>
      </w:r>
      <w:r w:rsidR="00F00B6D" w:rsidRPr="00997315">
        <w:rPr>
          <w:rFonts w:ascii="Helvetica" w:hAnsi="Helvetica" w:cs="Arial"/>
          <w:sz w:val="20"/>
          <w:szCs w:val="24"/>
          <w:lang w:val="lt-LT"/>
        </w:rPr>
        <w:t>dviem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dozėmis.</w:t>
      </w:r>
    </w:p>
    <w:p w14:paraId="44068378" w14:textId="77777777" w:rsidR="00C224CD" w:rsidRPr="00997315" w:rsidRDefault="00C224CD" w:rsidP="00997315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F7DFF6B" w14:textId="48D48C38" w:rsidR="0066556A" w:rsidRPr="00997315" w:rsidRDefault="0066556A" w:rsidP="0099731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97315">
        <w:rPr>
          <w:rFonts w:ascii="Helvetica" w:hAnsi="Helvetica" w:cs="Arial"/>
          <w:sz w:val="20"/>
          <w:szCs w:val="24"/>
          <w:lang w:val="lt-LT"/>
        </w:rPr>
        <w:t>30.</w:t>
      </w:r>
      <w:r w:rsidR="00C224CD" w:rsidRPr="00997315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Deutetrabenazinas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 xml:space="preserve"> arba kompozicija, apimanti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deutetrabenaziną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>, skirt</w:t>
      </w:r>
      <w:r w:rsidR="002B61A1" w:rsidRPr="00997315">
        <w:rPr>
          <w:rFonts w:ascii="Helvetica" w:hAnsi="Helvetica" w:cs="Arial"/>
          <w:sz w:val="20"/>
          <w:szCs w:val="24"/>
          <w:lang w:val="lt-LT"/>
        </w:rPr>
        <w:t>i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naudoti pagal bet kurį iš 1</w:t>
      </w:r>
      <w:r w:rsidR="00C224CD" w:rsidRPr="00997315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97315">
        <w:rPr>
          <w:rFonts w:ascii="Helvetica" w:hAnsi="Helvetica" w:cs="Arial"/>
          <w:sz w:val="20"/>
          <w:szCs w:val="24"/>
          <w:lang w:val="lt-LT"/>
        </w:rPr>
        <w:t>-</w:t>
      </w:r>
      <w:r w:rsidR="00C224CD" w:rsidRPr="00997315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97315">
        <w:rPr>
          <w:rFonts w:ascii="Helvetica" w:hAnsi="Helvetica" w:cs="Arial"/>
          <w:sz w:val="20"/>
          <w:szCs w:val="24"/>
          <w:lang w:val="lt-LT"/>
        </w:rPr>
        <w:t>3 arba 10</w:t>
      </w:r>
      <w:r w:rsidR="00C224CD" w:rsidRPr="00997315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97315">
        <w:rPr>
          <w:rFonts w:ascii="Helvetica" w:hAnsi="Helvetica" w:cs="Arial"/>
          <w:sz w:val="20"/>
          <w:szCs w:val="24"/>
          <w:lang w:val="lt-LT"/>
        </w:rPr>
        <w:t>-</w:t>
      </w:r>
      <w:r w:rsidR="00C224CD" w:rsidRPr="00997315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14 punktų, kur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deutetrabenazino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E7EE3" w:rsidRPr="00997315">
        <w:rPr>
          <w:rFonts w:ascii="Helvetica" w:hAnsi="Helvetica" w:cs="Arial"/>
          <w:sz w:val="20"/>
          <w:szCs w:val="24"/>
          <w:lang w:val="lt-LT"/>
        </w:rPr>
        <w:t>paros kiekis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yra skirtas įvesti viena doze arba </w:t>
      </w:r>
      <w:r w:rsidR="00F00B6D" w:rsidRPr="00997315">
        <w:rPr>
          <w:rFonts w:ascii="Helvetica" w:hAnsi="Helvetica" w:cs="Arial"/>
          <w:sz w:val="20"/>
          <w:szCs w:val="24"/>
          <w:lang w:val="lt-LT"/>
        </w:rPr>
        <w:t>dviem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dozėmis.</w:t>
      </w:r>
    </w:p>
    <w:p w14:paraId="14163B8E" w14:textId="77777777" w:rsidR="00C224CD" w:rsidRPr="00997315" w:rsidRDefault="00C224CD" w:rsidP="00997315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64257D1" w14:textId="2868414C" w:rsidR="0066556A" w:rsidRPr="00997315" w:rsidRDefault="0066556A" w:rsidP="0099731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97315">
        <w:rPr>
          <w:rFonts w:ascii="Helvetica" w:hAnsi="Helvetica" w:cs="Arial"/>
          <w:sz w:val="20"/>
          <w:szCs w:val="24"/>
          <w:lang w:val="lt-LT"/>
        </w:rPr>
        <w:t>31.</w:t>
      </w:r>
      <w:r w:rsidR="00C224CD" w:rsidRPr="00997315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Deutetrabenazinas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 xml:space="preserve"> arba kompozicija, apimanti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deutetrabenaziną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>, skirt</w:t>
      </w:r>
      <w:r w:rsidR="002B61A1" w:rsidRPr="00997315">
        <w:rPr>
          <w:rFonts w:ascii="Helvetica" w:hAnsi="Helvetica" w:cs="Arial"/>
          <w:sz w:val="20"/>
          <w:szCs w:val="24"/>
          <w:lang w:val="lt-LT"/>
        </w:rPr>
        <w:t>i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naudoti pagal bet kurį iš 1</w:t>
      </w:r>
      <w:r w:rsidR="00C224CD" w:rsidRPr="00997315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97315">
        <w:rPr>
          <w:rFonts w:ascii="Helvetica" w:hAnsi="Helvetica" w:cs="Arial"/>
          <w:sz w:val="20"/>
          <w:szCs w:val="24"/>
          <w:lang w:val="lt-LT"/>
        </w:rPr>
        <w:t>-</w:t>
      </w:r>
      <w:r w:rsidR="00C224CD" w:rsidRPr="00997315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97315">
        <w:rPr>
          <w:rFonts w:ascii="Helvetica" w:hAnsi="Helvetica" w:cs="Arial"/>
          <w:sz w:val="20"/>
          <w:szCs w:val="24"/>
          <w:lang w:val="lt-LT"/>
        </w:rPr>
        <w:t>3 arba 10</w:t>
      </w:r>
      <w:r w:rsidR="00C224CD" w:rsidRPr="00997315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97315">
        <w:rPr>
          <w:rFonts w:ascii="Helvetica" w:hAnsi="Helvetica" w:cs="Arial"/>
          <w:sz w:val="20"/>
          <w:szCs w:val="24"/>
          <w:lang w:val="lt-LT"/>
        </w:rPr>
        <w:t>-</w:t>
      </w:r>
      <w:r w:rsidR="00C224CD" w:rsidRPr="00997315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14 punktų, kur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deutetrabenazino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E7EE3" w:rsidRPr="00997315">
        <w:rPr>
          <w:rFonts w:ascii="Helvetica" w:hAnsi="Helvetica" w:cs="Arial"/>
          <w:sz w:val="20"/>
          <w:szCs w:val="24"/>
          <w:lang w:val="lt-LT"/>
        </w:rPr>
        <w:t>paros kiekis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yra skirtas įvesti viena doze.</w:t>
      </w:r>
    </w:p>
    <w:p w14:paraId="014AAC17" w14:textId="77777777" w:rsidR="00C224CD" w:rsidRPr="00997315" w:rsidRDefault="00C224CD" w:rsidP="00997315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719008B" w14:textId="22681BEC" w:rsidR="0066556A" w:rsidRPr="00997315" w:rsidRDefault="0066556A" w:rsidP="0099731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97315">
        <w:rPr>
          <w:rFonts w:ascii="Helvetica" w:hAnsi="Helvetica" w:cs="Arial"/>
          <w:sz w:val="20"/>
          <w:szCs w:val="24"/>
          <w:lang w:val="lt-LT"/>
        </w:rPr>
        <w:t>32.</w:t>
      </w:r>
      <w:r w:rsidR="00C224CD" w:rsidRPr="00997315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Deutetrabenazinas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 xml:space="preserve"> arba kompozicija, apimanti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deutetrabenaziną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>, skirt</w:t>
      </w:r>
      <w:r w:rsidR="002B61A1" w:rsidRPr="00997315">
        <w:rPr>
          <w:rFonts w:ascii="Helvetica" w:hAnsi="Helvetica" w:cs="Arial"/>
          <w:sz w:val="20"/>
          <w:szCs w:val="24"/>
          <w:lang w:val="lt-LT"/>
        </w:rPr>
        <w:t>i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naudoti pagal bet kurį iš 1</w:t>
      </w:r>
      <w:r w:rsidR="00C224CD" w:rsidRPr="00997315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97315">
        <w:rPr>
          <w:rFonts w:ascii="Helvetica" w:hAnsi="Helvetica" w:cs="Arial"/>
          <w:sz w:val="20"/>
          <w:szCs w:val="24"/>
          <w:lang w:val="lt-LT"/>
        </w:rPr>
        <w:t>-</w:t>
      </w:r>
      <w:r w:rsidR="00C224CD" w:rsidRPr="00997315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97315">
        <w:rPr>
          <w:rFonts w:ascii="Helvetica" w:hAnsi="Helvetica" w:cs="Arial"/>
          <w:sz w:val="20"/>
          <w:szCs w:val="24"/>
          <w:lang w:val="lt-LT"/>
        </w:rPr>
        <w:t>3 arba 10</w:t>
      </w:r>
      <w:r w:rsidR="00C224CD" w:rsidRPr="00997315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97315">
        <w:rPr>
          <w:rFonts w:ascii="Helvetica" w:hAnsi="Helvetica" w:cs="Arial"/>
          <w:sz w:val="20"/>
          <w:szCs w:val="24"/>
          <w:lang w:val="lt-LT"/>
        </w:rPr>
        <w:t>-</w:t>
      </w:r>
      <w:r w:rsidR="00C224CD" w:rsidRPr="00997315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14 punktų, kur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deutetrabenazino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E7EE3" w:rsidRPr="00997315">
        <w:rPr>
          <w:rFonts w:ascii="Helvetica" w:hAnsi="Helvetica" w:cs="Arial"/>
          <w:sz w:val="20"/>
          <w:szCs w:val="24"/>
          <w:lang w:val="lt-LT"/>
        </w:rPr>
        <w:t>paros kiekis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yra skirtas </w:t>
      </w:r>
      <w:r w:rsidR="00C224CD" w:rsidRPr="00997315">
        <w:rPr>
          <w:rFonts w:ascii="Helvetica" w:hAnsi="Helvetica" w:cs="Arial"/>
          <w:sz w:val="20"/>
          <w:szCs w:val="24"/>
          <w:lang w:val="lt-LT"/>
        </w:rPr>
        <w:t>įvesti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F00B6D" w:rsidRPr="00997315">
        <w:rPr>
          <w:rFonts w:ascii="Helvetica" w:hAnsi="Helvetica" w:cs="Arial"/>
          <w:sz w:val="20"/>
          <w:szCs w:val="24"/>
          <w:lang w:val="lt-LT"/>
        </w:rPr>
        <w:t>dviem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dozėmis.</w:t>
      </w:r>
    </w:p>
    <w:p w14:paraId="0AA98685" w14:textId="77777777" w:rsidR="003C53AE" w:rsidRPr="00997315" w:rsidRDefault="003C53AE" w:rsidP="00997315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276B5B2" w14:textId="30AFE4CA" w:rsidR="0066556A" w:rsidRPr="00997315" w:rsidRDefault="0066556A" w:rsidP="0099731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97315">
        <w:rPr>
          <w:rFonts w:ascii="Helvetica" w:hAnsi="Helvetica" w:cs="Arial"/>
          <w:sz w:val="20"/>
          <w:szCs w:val="24"/>
          <w:lang w:val="lt-LT"/>
        </w:rPr>
        <w:t>33.</w:t>
      </w:r>
      <w:r w:rsidR="003C53AE" w:rsidRPr="00997315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Deutetrabenazinas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 xml:space="preserve"> arba kompozicija, apimanti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deutetrabenaziną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>, skirt</w:t>
      </w:r>
      <w:r w:rsidR="002B61A1" w:rsidRPr="00997315">
        <w:rPr>
          <w:rFonts w:ascii="Helvetica" w:hAnsi="Helvetica" w:cs="Arial"/>
          <w:sz w:val="20"/>
          <w:szCs w:val="24"/>
          <w:lang w:val="lt-LT"/>
        </w:rPr>
        <w:t>i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naudoti pagal bet kurį iš 1</w:t>
      </w:r>
      <w:r w:rsidR="003C53AE" w:rsidRPr="00997315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97315">
        <w:rPr>
          <w:rFonts w:ascii="Helvetica" w:hAnsi="Helvetica" w:cs="Arial"/>
          <w:sz w:val="20"/>
          <w:szCs w:val="24"/>
          <w:lang w:val="lt-LT"/>
        </w:rPr>
        <w:t>-</w:t>
      </w:r>
      <w:r w:rsidR="003C53AE" w:rsidRPr="00997315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97315">
        <w:rPr>
          <w:rFonts w:ascii="Helvetica" w:hAnsi="Helvetica" w:cs="Arial"/>
          <w:sz w:val="20"/>
          <w:szCs w:val="24"/>
          <w:lang w:val="lt-LT"/>
        </w:rPr>
        <w:t>5 arba 10</w:t>
      </w:r>
      <w:r w:rsidR="003C53AE" w:rsidRPr="00997315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97315">
        <w:rPr>
          <w:rFonts w:ascii="Helvetica" w:hAnsi="Helvetica" w:cs="Arial"/>
          <w:sz w:val="20"/>
          <w:szCs w:val="24"/>
          <w:lang w:val="lt-LT"/>
        </w:rPr>
        <w:t>-</w:t>
      </w:r>
      <w:r w:rsidR="003C53AE" w:rsidRPr="00997315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14 punktų, kur </w:t>
      </w:r>
      <w:proofErr w:type="spellStart"/>
      <w:r w:rsidRPr="00997315">
        <w:rPr>
          <w:rFonts w:ascii="Helvetica" w:hAnsi="Helvetica" w:cs="Arial"/>
          <w:sz w:val="20"/>
          <w:szCs w:val="24"/>
          <w:lang w:val="lt-LT"/>
        </w:rPr>
        <w:t>deutetrabenazino</w:t>
      </w:r>
      <w:proofErr w:type="spellEnd"/>
      <w:r w:rsidRPr="00997315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E7EE3" w:rsidRPr="00997315">
        <w:rPr>
          <w:rFonts w:ascii="Helvetica" w:hAnsi="Helvetica" w:cs="Arial"/>
          <w:sz w:val="20"/>
          <w:szCs w:val="24"/>
          <w:lang w:val="lt-LT"/>
        </w:rPr>
        <w:t>paros kiekis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yra skiriamas </w:t>
      </w:r>
      <w:r w:rsidR="00F00B6D" w:rsidRPr="00997315">
        <w:rPr>
          <w:rFonts w:ascii="Helvetica" w:hAnsi="Helvetica" w:cs="Arial"/>
          <w:sz w:val="20"/>
          <w:szCs w:val="24"/>
          <w:lang w:val="lt-LT"/>
        </w:rPr>
        <w:t>dviem</w:t>
      </w:r>
      <w:r w:rsidRPr="00997315">
        <w:rPr>
          <w:rFonts w:ascii="Helvetica" w:hAnsi="Helvetica" w:cs="Arial"/>
          <w:sz w:val="20"/>
          <w:szCs w:val="24"/>
          <w:lang w:val="lt-LT"/>
        </w:rPr>
        <w:t xml:space="preserve"> dozėmis, susidedančiomis iš pirmosios dozės ir antrosios dozės; kur:</w:t>
      </w:r>
    </w:p>
    <w:p w14:paraId="7F254BFF" w14:textId="49741B14" w:rsidR="0066556A" w:rsidRPr="00997315" w:rsidRDefault="0066556A" w:rsidP="00997315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97315">
        <w:rPr>
          <w:rFonts w:ascii="Helvetica" w:hAnsi="Helvetica" w:cs="Arial"/>
          <w:sz w:val="20"/>
          <w:szCs w:val="24"/>
          <w:lang w:val="lt-LT"/>
        </w:rPr>
        <w:t>pirmoji dozė yra 6 mg,</w:t>
      </w:r>
      <w:r w:rsidR="00854968" w:rsidRPr="00997315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Pr="00997315">
        <w:rPr>
          <w:rFonts w:ascii="Helvetica" w:hAnsi="Helvetica" w:cs="Arial"/>
          <w:sz w:val="20"/>
          <w:szCs w:val="24"/>
          <w:lang w:val="lt-LT"/>
        </w:rPr>
        <w:t>antroji dozė yra 6 mg;</w:t>
      </w:r>
    </w:p>
    <w:p w14:paraId="54E169C6" w14:textId="54E1514E" w:rsidR="0066556A" w:rsidRPr="00997315" w:rsidRDefault="0066556A" w:rsidP="00997315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97315">
        <w:rPr>
          <w:rFonts w:ascii="Helvetica" w:hAnsi="Helvetica" w:cs="Arial"/>
          <w:sz w:val="20"/>
          <w:szCs w:val="24"/>
          <w:lang w:val="lt-LT"/>
        </w:rPr>
        <w:t>pirmoji dozė yra 9 mg,</w:t>
      </w:r>
      <w:r w:rsidR="00854968" w:rsidRPr="00997315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Pr="00997315">
        <w:rPr>
          <w:rFonts w:ascii="Helvetica" w:hAnsi="Helvetica" w:cs="Arial"/>
          <w:sz w:val="20"/>
          <w:szCs w:val="24"/>
          <w:lang w:val="lt-LT"/>
        </w:rPr>
        <w:t>antroji dozė yra 9 mg;</w:t>
      </w:r>
    </w:p>
    <w:p w14:paraId="66A3BFBF" w14:textId="05827BC3" w:rsidR="0066556A" w:rsidRPr="00997315" w:rsidRDefault="0066556A" w:rsidP="00997315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97315">
        <w:rPr>
          <w:rFonts w:ascii="Helvetica" w:hAnsi="Helvetica" w:cs="Arial"/>
          <w:sz w:val="20"/>
          <w:szCs w:val="24"/>
          <w:lang w:val="lt-LT"/>
        </w:rPr>
        <w:t>pirmoji dozė yra 12 mg,</w:t>
      </w:r>
      <w:r w:rsidR="00854968" w:rsidRPr="00997315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Pr="00997315">
        <w:rPr>
          <w:rFonts w:ascii="Helvetica" w:hAnsi="Helvetica" w:cs="Arial"/>
          <w:sz w:val="20"/>
          <w:szCs w:val="24"/>
          <w:lang w:val="lt-LT"/>
        </w:rPr>
        <w:t>antroji dozė yra 12 mg;</w:t>
      </w:r>
    </w:p>
    <w:p w14:paraId="32FFF507" w14:textId="21692F68" w:rsidR="0066556A" w:rsidRPr="00997315" w:rsidRDefault="0066556A" w:rsidP="00997315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97315">
        <w:rPr>
          <w:rFonts w:ascii="Helvetica" w:hAnsi="Helvetica" w:cs="Arial"/>
          <w:sz w:val="20"/>
          <w:szCs w:val="24"/>
          <w:lang w:val="lt-LT"/>
        </w:rPr>
        <w:t>pirmoji dozė yra 15 mg,</w:t>
      </w:r>
      <w:r w:rsidR="00854968" w:rsidRPr="00997315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Pr="00997315">
        <w:rPr>
          <w:rFonts w:ascii="Helvetica" w:hAnsi="Helvetica" w:cs="Arial"/>
          <w:sz w:val="20"/>
          <w:szCs w:val="24"/>
          <w:lang w:val="lt-LT"/>
        </w:rPr>
        <w:t>antroji dozė yra 15 mg;</w:t>
      </w:r>
    </w:p>
    <w:p w14:paraId="2067E3F0" w14:textId="201C6C5E" w:rsidR="0066556A" w:rsidRPr="00997315" w:rsidRDefault="0066556A" w:rsidP="00997315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97315">
        <w:rPr>
          <w:rFonts w:ascii="Helvetica" w:hAnsi="Helvetica" w:cs="Arial"/>
          <w:sz w:val="20"/>
          <w:szCs w:val="24"/>
          <w:lang w:val="lt-LT"/>
        </w:rPr>
        <w:t>pirmoji dozė yra 18 mg,</w:t>
      </w:r>
      <w:r w:rsidR="00854968" w:rsidRPr="00997315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Pr="00997315">
        <w:rPr>
          <w:rFonts w:ascii="Helvetica" w:hAnsi="Helvetica" w:cs="Arial"/>
          <w:sz w:val="20"/>
          <w:szCs w:val="24"/>
          <w:lang w:val="lt-LT"/>
        </w:rPr>
        <w:t>antroji dozė yra 18 mg;</w:t>
      </w:r>
    </w:p>
    <w:p w14:paraId="4CA03239" w14:textId="37F5AC6E" w:rsidR="0066556A" w:rsidRPr="00997315" w:rsidRDefault="0066556A" w:rsidP="00997315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97315">
        <w:rPr>
          <w:rFonts w:ascii="Helvetica" w:hAnsi="Helvetica" w:cs="Arial"/>
          <w:sz w:val="20"/>
          <w:szCs w:val="24"/>
          <w:lang w:val="lt-LT"/>
        </w:rPr>
        <w:t>pirmoji dozė yra 21 mg,</w:t>
      </w:r>
      <w:r w:rsidR="00854968" w:rsidRPr="00997315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Pr="00997315">
        <w:rPr>
          <w:rFonts w:ascii="Helvetica" w:hAnsi="Helvetica" w:cs="Arial"/>
          <w:sz w:val="20"/>
          <w:szCs w:val="24"/>
          <w:lang w:val="lt-LT"/>
        </w:rPr>
        <w:t>antroji dozė yra 21 mg; arba</w:t>
      </w:r>
    </w:p>
    <w:p w14:paraId="5F1F714A" w14:textId="723D838F" w:rsidR="00CC28BC" w:rsidRPr="00997315" w:rsidRDefault="0066556A" w:rsidP="00997315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97315">
        <w:rPr>
          <w:rFonts w:ascii="Helvetica" w:hAnsi="Helvetica" w:cs="Arial"/>
          <w:sz w:val="20"/>
          <w:szCs w:val="24"/>
          <w:lang w:val="lt-LT"/>
        </w:rPr>
        <w:t>pirmoji dozė yra 24 mg,</w:t>
      </w:r>
      <w:r w:rsidR="00854968" w:rsidRPr="00997315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Pr="00997315">
        <w:rPr>
          <w:rFonts w:ascii="Helvetica" w:hAnsi="Helvetica" w:cs="Arial"/>
          <w:sz w:val="20"/>
          <w:szCs w:val="24"/>
          <w:lang w:val="lt-LT"/>
        </w:rPr>
        <w:t>antroji dozė yra 24 mg.</w:t>
      </w:r>
    </w:p>
    <w:sectPr w:rsidR="00CC28BC" w:rsidRPr="00997315" w:rsidSect="00997315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3604D" w14:textId="77777777" w:rsidR="001F3BC9" w:rsidRDefault="001F3BC9" w:rsidP="007B0A41">
      <w:pPr>
        <w:spacing w:after="0" w:line="240" w:lineRule="auto"/>
      </w:pPr>
      <w:r>
        <w:separator/>
      </w:r>
    </w:p>
  </w:endnote>
  <w:endnote w:type="continuationSeparator" w:id="0">
    <w:p w14:paraId="26C9F2C2" w14:textId="77777777" w:rsidR="001F3BC9" w:rsidRDefault="001F3BC9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7C23B" w14:textId="77777777" w:rsidR="001F3BC9" w:rsidRDefault="001F3BC9" w:rsidP="007B0A41">
      <w:pPr>
        <w:spacing w:after="0" w:line="240" w:lineRule="auto"/>
      </w:pPr>
      <w:r>
        <w:separator/>
      </w:r>
    </w:p>
  </w:footnote>
  <w:footnote w:type="continuationSeparator" w:id="0">
    <w:p w14:paraId="7F691AA5" w14:textId="77777777" w:rsidR="001F3BC9" w:rsidRDefault="001F3BC9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07436"/>
    <w:rsid w:val="00010A56"/>
    <w:rsid w:val="0003792B"/>
    <w:rsid w:val="00052CC3"/>
    <w:rsid w:val="00065F0D"/>
    <w:rsid w:val="00070D8A"/>
    <w:rsid w:val="00092D0B"/>
    <w:rsid w:val="000A792F"/>
    <w:rsid w:val="00120AC9"/>
    <w:rsid w:val="00121D84"/>
    <w:rsid w:val="001308ED"/>
    <w:rsid w:val="00131199"/>
    <w:rsid w:val="00145EBC"/>
    <w:rsid w:val="001656FC"/>
    <w:rsid w:val="001668DF"/>
    <w:rsid w:val="00192F10"/>
    <w:rsid w:val="001A0135"/>
    <w:rsid w:val="001A3E8E"/>
    <w:rsid w:val="001C33D1"/>
    <w:rsid w:val="001F266E"/>
    <w:rsid w:val="001F3BC9"/>
    <w:rsid w:val="00206546"/>
    <w:rsid w:val="00215E69"/>
    <w:rsid w:val="002176AB"/>
    <w:rsid w:val="00223910"/>
    <w:rsid w:val="00234E11"/>
    <w:rsid w:val="002415DB"/>
    <w:rsid w:val="0025675F"/>
    <w:rsid w:val="00260D4E"/>
    <w:rsid w:val="00263A3E"/>
    <w:rsid w:val="002837FC"/>
    <w:rsid w:val="002B61A1"/>
    <w:rsid w:val="002D21AE"/>
    <w:rsid w:val="002D40DB"/>
    <w:rsid w:val="002F0929"/>
    <w:rsid w:val="00316FB7"/>
    <w:rsid w:val="00323840"/>
    <w:rsid w:val="00340BBA"/>
    <w:rsid w:val="00346DB3"/>
    <w:rsid w:val="00360E2B"/>
    <w:rsid w:val="003700E9"/>
    <w:rsid w:val="003825E2"/>
    <w:rsid w:val="003924B8"/>
    <w:rsid w:val="003A0D71"/>
    <w:rsid w:val="003A1B2E"/>
    <w:rsid w:val="003B53A5"/>
    <w:rsid w:val="003B5C0B"/>
    <w:rsid w:val="003C53AE"/>
    <w:rsid w:val="003D4001"/>
    <w:rsid w:val="003E5E6D"/>
    <w:rsid w:val="00412B35"/>
    <w:rsid w:val="004138E9"/>
    <w:rsid w:val="00416928"/>
    <w:rsid w:val="00431822"/>
    <w:rsid w:val="004361EB"/>
    <w:rsid w:val="00437D3F"/>
    <w:rsid w:val="00490D98"/>
    <w:rsid w:val="004A61A4"/>
    <w:rsid w:val="004C1469"/>
    <w:rsid w:val="004D3001"/>
    <w:rsid w:val="004D6BC3"/>
    <w:rsid w:val="004E0077"/>
    <w:rsid w:val="004F35B0"/>
    <w:rsid w:val="00501F3F"/>
    <w:rsid w:val="00510879"/>
    <w:rsid w:val="00520A99"/>
    <w:rsid w:val="00522809"/>
    <w:rsid w:val="0053198F"/>
    <w:rsid w:val="0054327A"/>
    <w:rsid w:val="00560B7D"/>
    <w:rsid w:val="00564911"/>
    <w:rsid w:val="00570509"/>
    <w:rsid w:val="00573A89"/>
    <w:rsid w:val="00586F40"/>
    <w:rsid w:val="00593A5A"/>
    <w:rsid w:val="0059478E"/>
    <w:rsid w:val="005A0BED"/>
    <w:rsid w:val="005A331C"/>
    <w:rsid w:val="005A7E9F"/>
    <w:rsid w:val="005B57EC"/>
    <w:rsid w:val="005C4A77"/>
    <w:rsid w:val="005D37DF"/>
    <w:rsid w:val="005E21CB"/>
    <w:rsid w:val="005F62B9"/>
    <w:rsid w:val="006005F4"/>
    <w:rsid w:val="006049CC"/>
    <w:rsid w:val="00617E21"/>
    <w:rsid w:val="006375BB"/>
    <w:rsid w:val="0064640E"/>
    <w:rsid w:val="0066556A"/>
    <w:rsid w:val="00675FB8"/>
    <w:rsid w:val="00683EAE"/>
    <w:rsid w:val="00686D24"/>
    <w:rsid w:val="006A20BA"/>
    <w:rsid w:val="006A5176"/>
    <w:rsid w:val="006A707B"/>
    <w:rsid w:val="006B1A30"/>
    <w:rsid w:val="006C3CD4"/>
    <w:rsid w:val="006C5EA4"/>
    <w:rsid w:val="006C673E"/>
    <w:rsid w:val="006D15AB"/>
    <w:rsid w:val="006F52F9"/>
    <w:rsid w:val="00703E54"/>
    <w:rsid w:val="00725080"/>
    <w:rsid w:val="007265BB"/>
    <w:rsid w:val="007274F4"/>
    <w:rsid w:val="007752B9"/>
    <w:rsid w:val="007760A8"/>
    <w:rsid w:val="00780575"/>
    <w:rsid w:val="007866B1"/>
    <w:rsid w:val="00790202"/>
    <w:rsid w:val="00792C7E"/>
    <w:rsid w:val="00795D58"/>
    <w:rsid w:val="007A4B6F"/>
    <w:rsid w:val="007B0A41"/>
    <w:rsid w:val="007C0A0D"/>
    <w:rsid w:val="007C18AB"/>
    <w:rsid w:val="007C60FE"/>
    <w:rsid w:val="007C6593"/>
    <w:rsid w:val="007D7E01"/>
    <w:rsid w:val="007E2261"/>
    <w:rsid w:val="007E3FCB"/>
    <w:rsid w:val="007F10F5"/>
    <w:rsid w:val="00806BE5"/>
    <w:rsid w:val="00807DB6"/>
    <w:rsid w:val="008109C4"/>
    <w:rsid w:val="00812DBE"/>
    <w:rsid w:val="008213FB"/>
    <w:rsid w:val="008261A6"/>
    <w:rsid w:val="008309E7"/>
    <w:rsid w:val="00837B1E"/>
    <w:rsid w:val="00851ABA"/>
    <w:rsid w:val="00854968"/>
    <w:rsid w:val="008632E9"/>
    <w:rsid w:val="00864E7D"/>
    <w:rsid w:val="00886FF4"/>
    <w:rsid w:val="008A7B6E"/>
    <w:rsid w:val="008B41AC"/>
    <w:rsid w:val="008C60D6"/>
    <w:rsid w:val="008D4380"/>
    <w:rsid w:val="008D4E61"/>
    <w:rsid w:val="008E0E9E"/>
    <w:rsid w:val="0090596D"/>
    <w:rsid w:val="00907FD8"/>
    <w:rsid w:val="00916226"/>
    <w:rsid w:val="00947ACD"/>
    <w:rsid w:val="00963C86"/>
    <w:rsid w:val="00971B8A"/>
    <w:rsid w:val="00972206"/>
    <w:rsid w:val="009766FA"/>
    <w:rsid w:val="00981050"/>
    <w:rsid w:val="0098532A"/>
    <w:rsid w:val="00992879"/>
    <w:rsid w:val="00997315"/>
    <w:rsid w:val="009B114E"/>
    <w:rsid w:val="009B2E35"/>
    <w:rsid w:val="009B6C12"/>
    <w:rsid w:val="009C10C1"/>
    <w:rsid w:val="009D7510"/>
    <w:rsid w:val="009F6DE5"/>
    <w:rsid w:val="00A02F0C"/>
    <w:rsid w:val="00A07615"/>
    <w:rsid w:val="00A14A78"/>
    <w:rsid w:val="00A22BBD"/>
    <w:rsid w:val="00A30FA8"/>
    <w:rsid w:val="00A4282B"/>
    <w:rsid w:val="00A51B6C"/>
    <w:rsid w:val="00A534B9"/>
    <w:rsid w:val="00AA3A1F"/>
    <w:rsid w:val="00AD23B7"/>
    <w:rsid w:val="00AD4691"/>
    <w:rsid w:val="00AE1ECB"/>
    <w:rsid w:val="00AE51EA"/>
    <w:rsid w:val="00B05EDE"/>
    <w:rsid w:val="00B226B6"/>
    <w:rsid w:val="00B347CF"/>
    <w:rsid w:val="00B456BD"/>
    <w:rsid w:val="00B60A59"/>
    <w:rsid w:val="00B6516C"/>
    <w:rsid w:val="00B70727"/>
    <w:rsid w:val="00B742C1"/>
    <w:rsid w:val="00B81287"/>
    <w:rsid w:val="00B86C5A"/>
    <w:rsid w:val="00BA0DAE"/>
    <w:rsid w:val="00BA2E9F"/>
    <w:rsid w:val="00BD2789"/>
    <w:rsid w:val="00BE60D0"/>
    <w:rsid w:val="00C1001A"/>
    <w:rsid w:val="00C156FA"/>
    <w:rsid w:val="00C224CD"/>
    <w:rsid w:val="00C26B30"/>
    <w:rsid w:val="00C26C67"/>
    <w:rsid w:val="00C30968"/>
    <w:rsid w:val="00C323DA"/>
    <w:rsid w:val="00C34317"/>
    <w:rsid w:val="00C42BDE"/>
    <w:rsid w:val="00C57BA6"/>
    <w:rsid w:val="00C72847"/>
    <w:rsid w:val="00C86DA9"/>
    <w:rsid w:val="00C91715"/>
    <w:rsid w:val="00C93BF9"/>
    <w:rsid w:val="00C94E78"/>
    <w:rsid w:val="00CB174A"/>
    <w:rsid w:val="00CC28BC"/>
    <w:rsid w:val="00CE09D3"/>
    <w:rsid w:val="00CE42D1"/>
    <w:rsid w:val="00CE79DA"/>
    <w:rsid w:val="00CE7EE3"/>
    <w:rsid w:val="00CF70D6"/>
    <w:rsid w:val="00D15412"/>
    <w:rsid w:val="00D26E30"/>
    <w:rsid w:val="00D30F69"/>
    <w:rsid w:val="00D54A23"/>
    <w:rsid w:val="00D55A30"/>
    <w:rsid w:val="00D56D60"/>
    <w:rsid w:val="00DB24EF"/>
    <w:rsid w:val="00DB2CA9"/>
    <w:rsid w:val="00DB375D"/>
    <w:rsid w:val="00DC70F5"/>
    <w:rsid w:val="00DD27CC"/>
    <w:rsid w:val="00DD49B4"/>
    <w:rsid w:val="00DF2C8B"/>
    <w:rsid w:val="00E1104B"/>
    <w:rsid w:val="00E14BB7"/>
    <w:rsid w:val="00E1543E"/>
    <w:rsid w:val="00E171C4"/>
    <w:rsid w:val="00E2583B"/>
    <w:rsid w:val="00E321B7"/>
    <w:rsid w:val="00E51975"/>
    <w:rsid w:val="00E54C7E"/>
    <w:rsid w:val="00EB03E6"/>
    <w:rsid w:val="00EB57A7"/>
    <w:rsid w:val="00EC0288"/>
    <w:rsid w:val="00EC3343"/>
    <w:rsid w:val="00F00B6D"/>
    <w:rsid w:val="00F01CE8"/>
    <w:rsid w:val="00F06564"/>
    <w:rsid w:val="00F26CDE"/>
    <w:rsid w:val="00F37F4D"/>
    <w:rsid w:val="00F5330D"/>
    <w:rsid w:val="00F577D6"/>
    <w:rsid w:val="00F66B57"/>
    <w:rsid w:val="00F70BD2"/>
    <w:rsid w:val="00F87A00"/>
    <w:rsid w:val="00FA380A"/>
    <w:rsid w:val="00FA7C00"/>
    <w:rsid w:val="00FB2032"/>
    <w:rsid w:val="00FB211A"/>
    <w:rsid w:val="00FB5E50"/>
    <w:rsid w:val="00FB72FF"/>
    <w:rsid w:val="00FC4138"/>
    <w:rsid w:val="00FD103E"/>
    <w:rsid w:val="00FD3E6A"/>
    <w:rsid w:val="00FE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8DA0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1959</Words>
  <Characters>11777</Characters>
  <Application>Microsoft Office Word</Application>
  <DocSecurity>0</DocSecurity>
  <Lines>206</Lines>
  <Paragraphs>88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2022-08-21T05:26:00Z</dcterms:created>
  <dcterms:modified xsi:type="dcterms:W3CDTF">2022-09-05T11:44:00Z</dcterms:modified>
</cp:coreProperties>
</file>