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81D6" w14:textId="77777777" w:rsidR="00166C9F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1. Humanizuotas antikūnas, kuris specifiškai </w:t>
      </w:r>
      <w:r w:rsidR="00166C9F" w:rsidRPr="00BE2DCB">
        <w:rPr>
          <w:rFonts w:ascii="Helvetica" w:eastAsia="Times New Roman" w:hAnsi="Helvetica" w:cs="Arial"/>
          <w:sz w:val="20"/>
          <w:szCs w:val="24"/>
          <w:lang w:eastAsia="lt-LT"/>
        </w:rPr>
        <w:t>riša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si su komplemento komponentu</w:t>
      </w:r>
      <w:r w:rsidR="00166C9F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C1s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, kur antikūnas apima VH sritį, apimančią aminorūgščių seką, </w:t>
      </w:r>
      <w:r w:rsidR="00166C9F" w:rsidRPr="00BE2DCB">
        <w:rPr>
          <w:rFonts w:ascii="Helvetica" w:eastAsia="Times New Roman" w:hAnsi="Helvetica" w:cs="Arial"/>
          <w:sz w:val="20"/>
          <w:szCs w:val="24"/>
          <w:lang w:eastAsia="lt-LT"/>
        </w:rPr>
        <w:t>nurody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tą SEQ ID Nr. 14, </w:t>
      </w:r>
      <w:r w:rsidR="00166C9F" w:rsidRPr="00BE2DCB">
        <w:rPr>
          <w:rFonts w:ascii="Helvetica" w:eastAsia="Times New Roman" w:hAnsi="Helvetica" w:cs="Arial"/>
          <w:sz w:val="20"/>
          <w:szCs w:val="24"/>
          <w:lang w:eastAsia="lt-LT"/>
        </w:rPr>
        <w:t>ir VL sritį, apimančią aminorūgščių seką, nurodytą SEQ ID Nr. 22.</w:t>
      </w:r>
    </w:p>
    <w:p w14:paraId="207B4C12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8A5D240" w14:textId="776EA5B2" w:rsidR="00B30205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Humanizuotas antikūnas pagal 1 punktą, kur humanizuotas antikūnas yra parinktas </w:t>
      </w:r>
      <w:r w:rsidR="00B30205" w:rsidRPr="00BE2DCB">
        <w:rPr>
          <w:rFonts w:ascii="Helvetica" w:eastAsia="Times New Roman" w:hAnsi="Helvetica" w:cs="Arial"/>
          <w:sz w:val="20"/>
          <w:szCs w:val="24"/>
          <w:lang w:eastAsia="lt-LT"/>
        </w:rPr>
        <w:t>iš grupės, susidedančios iš Fab fragmento, F(ab’)2 fragmento, scFv ir Fv.</w:t>
      </w:r>
    </w:p>
    <w:p w14:paraId="1D13FEB5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C7F9D1E" w14:textId="7CD829ED" w:rsidR="00166C9F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Humanizuotas antikūnas pagal 1 punktą, kur humanizuotas antikūnas apima IgG1, </w:t>
      </w:r>
      <w:r w:rsidR="00166C9F" w:rsidRPr="00BE2DCB">
        <w:rPr>
          <w:rFonts w:ascii="Helvetica" w:eastAsia="Times New Roman" w:hAnsi="Helvetica" w:cs="Arial"/>
          <w:sz w:val="20"/>
          <w:szCs w:val="24"/>
          <w:lang w:eastAsia="lt-LT"/>
        </w:rPr>
        <w:t>IgG2, IgG3 arba IgG4 izotipo sunkiosios grandinės pastoviąją sritį.</w:t>
      </w:r>
    </w:p>
    <w:p w14:paraId="26BB66C2" w14:textId="77777777" w:rsidR="00F57308" w:rsidRPr="00BE2DCB" w:rsidRDefault="00F57308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E61F8AA" w14:textId="63A0B175" w:rsidR="00F57308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Kompozicija, kuri</w:t>
      </w:r>
      <w:r w:rsidR="00166C9F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apima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0F8D89F2" w14:textId="77777777" w:rsidR="00F57308" w:rsidRPr="00BE2DCB" w:rsidRDefault="00F57308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a) humanizuot</w:t>
      </w:r>
      <w:r w:rsidR="00166C9F" w:rsidRPr="00BE2DC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</w:t>
      </w:r>
      <w:r w:rsidR="00166C9F" w:rsidRPr="00BE2DC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bet kurį iš 1-3 punktų; ir</w:t>
      </w:r>
    </w:p>
    <w:p w14:paraId="43F1C9E1" w14:textId="77777777" w:rsidR="00F57308" w:rsidRPr="00BE2DCB" w:rsidRDefault="00F57308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b) farmaciniu požiūriu priimtiną pagalbinę medžiagą.</w:t>
      </w:r>
    </w:p>
    <w:p w14:paraId="01F4D74F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DDA82B9" w14:textId="4D68B5E6" w:rsidR="00761F03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Kompozicija pagal 4 punktą, kur kompozicija apima vieną arba daugiau iš tonizuojanči</w:t>
      </w:r>
      <w:r w:rsidR="00575138" w:rsidRPr="00BE2DCB">
        <w:rPr>
          <w:rFonts w:ascii="Helvetica" w:eastAsia="Times New Roman" w:hAnsi="Helvetica" w:cs="Arial"/>
          <w:sz w:val="20"/>
          <w:szCs w:val="24"/>
          <w:lang w:eastAsia="lt-LT"/>
        </w:rPr>
        <w:t>os medžiagos,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suspend</w:t>
      </w:r>
      <w:r w:rsidR="00575138" w:rsidRPr="00BE2DCB">
        <w:rPr>
          <w:rFonts w:ascii="Helvetica" w:eastAsia="Times New Roman" w:hAnsi="Helvetica" w:cs="Arial"/>
          <w:sz w:val="20"/>
          <w:szCs w:val="24"/>
          <w:lang w:eastAsia="lt-LT"/>
        </w:rPr>
        <w:t>avimo medžiagos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, emulsiklio, stabilizatoriaus, </w:t>
      </w:r>
      <w:r w:rsidR="00761F03" w:rsidRPr="00BE2DCB">
        <w:rPr>
          <w:rFonts w:ascii="Helvetica" w:eastAsia="Times New Roman" w:hAnsi="Helvetica" w:cs="Arial"/>
          <w:sz w:val="20"/>
          <w:szCs w:val="24"/>
          <w:lang w:eastAsia="lt-LT"/>
        </w:rPr>
        <w:t>konservanto, lioprotektanto, paviršinio aktyvumo medžiagos ir cukraus.</w:t>
      </w:r>
    </w:p>
    <w:p w14:paraId="32D5BFB6" w14:textId="45171FCE" w:rsidR="00F57308" w:rsidRPr="00BE2DCB" w:rsidRDefault="00F57308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D286E0D" w14:textId="6B1D999A" w:rsidR="00761F03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Kompozicija pagal 4 arba 5 punktą, kuri yra s</w:t>
      </w:r>
      <w:r w:rsidR="00761F03" w:rsidRPr="00BE2DCB">
        <w:rPr>
          <w:rFonts w:ascii="Helvetica" w:eastAsia="Times New Roman" w:hAnsi="Helvetica" w:cs="Arial"/>
          <w:sz w:val="20"/>
          <w:szCs w:val="24"/>
          <w:lang w:eastAsia="lt-LT"/>
        </w:rPr>
        <w:t>kir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ta</w:t>
      </w:r>
      <w:r w:rsidR="00173F9E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įved</w:t>
      </w:r>
      <w:r w:rsidR="000E03AE" w:rsidRPr="00BE2DCB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173F9E" w:rsidRPr="00BE2DCB">
        <w:rPr>
          <w:rFonts w:ascii="Helvetica" w:eastAsia="Times New Roman" w:hAnsi="Helvetica" w:cs="Arial"/>
          <w:sz w:val="20"/>
          <w:szCs w:val="24"/>
          <w:lang w:eastAsia="lt-LT"/>
        </w:rPr>
        <w:t>mui į veną, į raumenis, intratekaliai arba po oda</w:t>
      </w:r>
      <w:r w:rsidR="00761F03" w:rsidRPr="00BE2DCB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2312C6C2" w14:textId="6E8B83E7" w:rsidR="00F57308" w:rsidRPr="00BE2DCB" w:rsidRDefault="00F57308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B7B8401" w14:textId="77777777" w:rsidR="00BE2DCB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Humanizuotas antikūnas pagal bet kurį iš 1-3 punktų arba kompozicija pagal bet kurį iš 4-6 punktų, skirti naudoti komplemento</w:t>
      </w:r>
      <w:r w:rsidR="00761F03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sistemos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s</w:t>
      </w:r>
      <w:r w:rsidR="00761F03" w:rsidRPr="00BE2DCB">
        <w:rPr>
          <w:rFonts w:ascii="Helvetica" w:eastAsia="Times New Roman" w:hAnsi="Helvetica" w:cs="Arial"/>
          <w:sz w:val="20"/>
          <w:szCs w:val="24"/>
          <w:lang w:eastAsia="lt-LT"/>
        </w:rPr>
        <w:t>ąlygot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os ligos arba sutrikimo gydymui.</w:t>
      </w:r>
    </w:p>
    <w:p w14:paraId="06B00FFB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20AC9D0" w14:textId="5F31CC5C" w:rsidR="00761F03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Humanizuotas antikūnas, skirtas naudoti pagal 7 punktą, arba kompozicija, skirta naudoti pagal 7 punktą, kur komplemento komponento skilimo produkto lygis </w:t>
      </w:r>
      <w:r w:rsidR="00761F03" w:rsidRPr="00BE2DCB">
        <w:rPr>
          <w:rFonts w:ascii="Helvetica" w:eastAsia="Times New Roman" w:hAnsi="Helvetica" w:cs="Arial"/>
          <w:sz w:val="20"/>
          <w:szCs w:val="24"/>
          <w:lang w:eastAsia="lt-LT"/>
        </w:rPr>
        <w:t>individe yra sumažintas.</w:t>
      </w:r>
    </w:p>
    <w:p w14:paraId="20AD9C5B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C1C32EC" w14:textId="16174641" w:rsidR="001420EA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Humanizuotas antikūnas, skirtas naudoti pagal 8 punktą, arba kompozicija, skirta naudoti pagal 8 punktą, kur komplemento komponento skilimo produktas yra C4 </w:t>
      </w:r>
      <w:r w:rsidR="001420EA" w:rsidRPr="00BE2DCB">
        <w:rPr>
          <w:rFonts w:ascii="Helvetica" w:eastAsia="Times New Roman" w:hAnsi="Helvetica" w:cs="Arial"/>
          <w:sz w:val="20"/>
          <w:szCs w:val="24"/>
          <w:lang w:eastAsia="lt-LT"/>
        </w:rPr>
        <w:t>skilimo produktas.</w:t>
      </w:r>
    </w:p>
    <w:p w14:paraId="32A54F2F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0DA7715" w14:textId="24882762" w:rsidR="001420EA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Humanizuotas antikūnas, skirtas naudoti pagal 8 punktą, arba kompozicija, skirta naudoti pagal 8 punktą, kur komplemento komponento skilimo produktas yra C2 </w:t>
      </w:r>
      <w:r w:rsidR="001420EA" w:rsidRPr="00BE2DCB">
        <w:rPr>
          <w:rFonts w:ascii="Helvetica" w:eastAsia="Times New Roman" w:hAnsi="Helvetica" w:cs="Arial"/>
          <w:sz w:val="20"/>
          <w:szCs w:val="24"/>
          <w:lang w:eastAsia="lt-LT"/>
        </w:rPr>
        <w:t>skilimo produktas.</w:t>
      </w:r>
    </w:p>
    <w:p w14:paraId="48DB6210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81727F7" w14:textId="7C30B282" w:rsidR="001420EA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Humanizuotas antikūnas, skirtas naudoti pagal 8 punktą, arba kompozicija, skirta naudoti pagal 8 punktą, kur komplemento komponento skilimo produktas yra C3 </w:t>
      </w:r>
      <w:r w:rsidR="001420EA" w:rsidRPr="00BE2DCB">
        <w:rPr>
          <w:rFonts w:ascii="Helvetica" w:eastAsia="Times New Roman" w:hAnsi="Helvetica" w:cs="Arial"/>
          <w:sz w:val="20"/>
          <w:szCs w:val="24"/>
          <w:lang w:eastAsia="lt-LT"/>
        </w:rPr>
        <w:t>skilimo produktas.</w:t>
      </w:r>
    </w:p>
    <w:p w14:paraId="6CB66A39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B64DF35" w14:textId="3D5CAD78" w:rsidR="001420EA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Humanizuotas antikūnas, skirtas naudoti pagal 7 punktą, arba kompozicija, skirta naudoti pagal 7 punktą, kur komplemento</w:t>
      </w:r>
      <w:r w:rsidR="001420EA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0" w:name="_Hlk126054312"/>
      <w:r w:rsidR="001420EA" w:rsidRPr="00BE2DCB">
        <w:rPr>
          <w:rFonts w:ascii="Helvetica" w:eastAsia="Times New Roman" w:hAnsi="Helvetica" w:cs="Arial"/>
          <w:sz w:val="20"/>
          <w:szCs w:val="24"/>
          <w:lang w:eastAsia="lt-LT"/>
        </w:rPr>
        <w:t>sistemos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sąlygotas </w:t>
      </w:r>
      <w:bookmarkEnd w:id="0"/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sutrikimas yra </w:t>
      </w:r>
      <w:r w:rsidR="001420EA" w:rsidRPr="00BE2DCB">
        <w:rPr>
          <w:rFonts w:ascii="Helvetica" w:eastAsia="Times New Roman" w:hAnsi="Helvetica" w:cs="Arial"/>
          <w:sz w:val="20"/>
          <w:szCs w:val="24"/>
          <w:lang w:eastAsia="lt-LT"/>
        </w:rPr>
        <w:t>aloimuninis sutrikimas.</w:t>
      </w:r>
    </w:p>
    <w:p w14:paraId="13ECD344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7D3E218" w14:textId="44341B85" w:rsidR="00640E4F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13.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Humanizuotas antikūnas, skirtas naudoti pagal 7 punktą, arba kompozicija, skirta naudoti pagal 7 punktą, kur komplemento </w:t>
      </w:r>
      <w:r w:rsidR="001420EA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sistemos sąlygotas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sutrikimas yra </w:t>
      </w:r>
      <w:r w:rsidR="00640E4F" w:rsidRPr="00BE2DCB">
        <w:rPr>
          <w:rFonts w:ascii="Helvetica" w:eastAsia="Times New Roman" w:hAnsi="Helvetica" w:cs="Arial"/>
          <w:sz w:val="20"/>
          <w:szCs w:val="24"/>
          <w:lang w:eastAsia="lt-LT"/>
        </w:rPr>
        <w:t>autoimuninis sutrikimas.</w:t>
      </w:r>
    </w:p>
    <w:p w14:paraId="31FB86D6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F248A96" w14:textId="77777777" w:rsidR="00BE2DCB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Humanizuotas antikūnas, skirtas naudoti pagal 7 punktą, arba kompozicija, skirta naudoti pagal 7 punktą, kur komplemento</w:t>
      </w:r>
      <w:r w:rsidR="00640E4F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sistemos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sukelta liga yra šal</w:t>
      </w:r>
      <w:r w:rsidR="00640E4F" w:rsidRPr="00BE2DCB">
        <w:rPr>
          <w:rFonts w:ascii="Helvetica" w:eastAsia="Times New Roman" w:hAnsi="Helvetica" w:cs="Arial"/>
          <w:sz w:val="20"/>
          <w:szCs w:val="24"/>
          <w:lang w:eastAsia="lt-LT"/>
        </w:rPr>
        <w:t>čio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agliutinin</w:t>
      </w:r>
      <w:r w:rsidR="00173F9E" w:rsidRPr="00BE2DCB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liga.</w:t>
      </w:r>
    </w:p>
    <w:p w14:paraId="05F42F58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9A1869A" w14:textId="4EF9ACB7" w:rsidR="00173F9E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15.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Humanizuotas antikūnas, skirtas naudoti pagal 7 punktą, arba kompozicija, skirta naudoti pagal 7 punktą, kur komplemento</w:t>
      </w:r>
      <w:r w:rsidR="00173F9E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sistemos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sukeltas sutrikimas yra imun</w:t>
      </w:r>
      <w:r w:rsidR="00173F9E" w:rsidRPr="00BE2DCB">
        <w:rPr>
          <w:rFonts w:ascii="Helvetica" w:eastAsia="Times New Roman" w:hAnsi="Helvetica" w:cs="Arial"/>
          <w:sz w:val="20"/>
          <w:szCs w:val="24"/>
          <w:lang w:eastAsia="lt-LT"/>
        </w:rPr>
        <w:t>inė trombocitopeninė purpura (ITP).</w:t>
      </w:r>
    </w:p>
    <w:p w14:paraId="42BBBCFF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4503A4A" w14:textId="77777777" w:rsidR="00BE2DCB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16.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Humanizuotas antikūnas, skirtas naudoti pagal 7 punktą, arba kompozicija, skirta naudoti pagal 7 punktą, kur komplemento </w:t>
      </w:r>
      <w:r w:rsidR="00173F9E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sistemos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sukeltas sutrikimas yra pūslinis pemfigoidas.</w:t>
      </w:r>
    </w:p>
    <w:p w14:paraId="469D4A1C" w14:textId="77777777" w:rsidR="00BE2DCB" w:rsidRPr="00BE2DCB" w:rsidRDefault="00BE2DCB" w:rsidP="00BE2DC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33241B5" w14:textId="3DBD8B0F" w:rsidR="00F57308" w:rsidRPr="00BE2DCB" w:rsidRDefault="00F57308" w:rsidP="00BE2DC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17.</w:t>
      </w:r>
      <w:r w:rsidR="00BE2DCB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Humanizuotas antikūnas, skirtas naudoti pagal 7 punktą, arba kompozicija, skirta naudoti pagal 7 punktą, kur humanizuotas antikūnas arba kompozicija</w:t>
      </w:r>
      <w:r w:rsidR="00173F9E"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73F9E" w:rsidRPr="00BE2DCB">
        <w:rPr>
          <w:rFonts w:ascii="Helvetica" w:eastAsia="Times New Roman" w:hAnsi="Helvetica" w:cs="Arial"/>
          <w:sz w:val="20"/>
          <w:szCs w:val="24"/>
          <w:lang w:eastAsia="lt-LT"/>
        </w:rPr>
        <w:t>skirti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įved</w:t>
      </w:r>
      <w:r w:rsidR="00395F92" w:rsidRPr="00BE2DCB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>m</w:t>
      </w:r>
      <w:r w:rsidR="00173F9E" w:rsidRPr="00BE2DCB">
        <w:rPr>
          <w:rFonts w:ascii="Helvetica" w:eastAsia="Times New Roman" w:hAnsi="Helvetica" w:cs="Arial"/>
          <w:sz w:val="20"/>
          <w:szCs w:val="24"/>
          <w:lang w:eastAsia="lt-LT"/>
        </w:rPr>
        <w:t>ui</w:t>
      </w:r>
      <w:r w:rsidRPr="00BE2DCB">
        <w:rPr>
          <w:rFonts w:ascii="Helvetica" w:eastAsia="Times New Roman" w:hAnsi="Helvetica" w:cs="Arial"/>
          <w:sz w:val="20"/>
          <w:szCs w:val="24"/>
          <w:lang w:eastAsia="lt-LT"/>
        </w:rPr>
        <w:t xml:space="preserve"> į veną, į raumenis, intratekaliai arba po oda.</w:t>
      </w:r>
    </w:p>
    <w:sectPr w:rsidR="00F57308" w:rsidRPr="00BE2DCB" w:rsidSect="00BE2DCB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31CC" w14:textId="77777777" w:rsidR="00D75371" w:rsidRDefault="00D75371" w:rsidP="00D60E16">
      <w:pPr>
        <w:spacing w:after="0" w:line="240" w:lineRule="auto"/>
      </w:pPr>
      <w:r>
        <w:separator/>
      </w:r>
    </w:p>
  </w:endnote>
  <w:endnote w:type="continuationSeparator" w:id="0">
    <w:p w14:paraId="53287F55" w14:textId="77777777" w:rsidR="00D75371" w:rsidRDefault="00D75371" w:rsidP="00D6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8F88" w14:textId="77777777" w:rsidR="00D75371" w:rsidRDefault="00D75371" w:rsidP="00D60E16">
      <w:pPr>
        <w:spacing w:after="0" w:line="240" w:lineRule="auto"/>
      </w:pPr>
      <w:r>
        <w:separator/>
      </w:r>
    </w:p>
  </w:footnote>
  <w:footnote w:type="continuationSeparator" w:id="0">
    <w:p w14:paraId="2C519409" w14:textId="77777777" w:rsidR="00D75371" w:rsidRDefault="00D75371" w:rsidP="00D60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08"/>
    <w:rsid w:val="000E03AE"/>
    <w:rsid w:val="000F1007"/>
    <w:rsid w:val="001420EA"/>
    <w:rsid w:val="00166C9F"/>
    <w:rsid w:val="00173F9E"/>
    <w:rsid w:val="00395F92"/>
    <w:rsid w:val="004C54B0"/>
    <w:rsid w:val="00575138"/>
    <w:rsid w:val="00640E4F"/>
    <w:rsid w:val="00761F03"/>
    <w:rsid w:val="00833FCD"/>
    <w:rsid w:val="00943BDB"/>
    <w:rsid w:val="00A42A64"/>
    <w:rsid w:val="00B30205"/>
    <w:rsid w:val="00BC619F"/>
    <w:rsid w:val="00BE2DCB"/>
    <w:rsid w:val="00D60E16"/>
    <w:rsid w:val="00D75371"/>
    <w:rsid w:val="00EE17E3"/>
    <w:rsid w:val="00F5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0109C"/>
  <w15:chartTrackingRefBased/>
  <w15:docId w15:val="{64775534-A312-4CAF-948C-647820A0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E16"/>
  </w:style>
  <w:style w:type="paragraph" w:styleId="Footer">
    <w:name w:val="footer"/>
    <w:basedOn w:val="Normal"/>
    <w:link w:val="FooterChar"/>
    <w:uiPriority w:val="99"/>
    <w:unhideWhenUsed/>
    <w:rsid w:val="00D60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E16"/>
  </w:style>
  <w:style w:type="paragraph" w:styleId="ListParagraph">
    <w:name w:val="List Paragraph"/>
    <w:basedOn w:val="Normal"/>
    <w:uiPriority w:val="34"/>
    <w:qFormat/>
    <w:rsid w:val="00166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2658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2023-02-07T14:50:00Z</dcterms:created>
  <dcterms:modified xsi:type="dcterms:W3CDTF">2023-02-07T14:50:00Z</dcterms:modified>
</cp:coreProperties>
</file>