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Daugiakorpusinis laivas, kurio centrinio korpuso (plūdės) (2) ilgio ir pločio santykis yra didesnis už 8. Numatytos mažiausiai dvi šoninės plūdės (3, 4) su pastoviai panardinta dalimi. Šoninių plūdžių horizontalieji pjūviai nustatyti tokie, kad grįžtamasis momentas, kuris sukuriamas kreno metu, atitiktų bent jau paprasto vieno korpuso laivo mažus kreno kampus.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