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C1D0" w14:textId="40CFCEC3" w:rsidR="00ED1584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luripotentinių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kamieninių ląstelių diferencijavimo </w:t>
      </w:r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das</w:t>
      </w:r>
      <w:r w:rsidR="00490E69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490E69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490E69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490E69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vitro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22C22BB2" w14:textId="61B4DFB7" w:rsidR="00ED1584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(a)</w:t>
      </w:r>
      <w:r w:rsidR="005C235F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idelio skaičiaus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kamieninių ląstelių</w:t>
      </w:r>
      <w:r w:rsidR="006848BC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99022192"/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>apjungimą sąveikai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bookmarkEnd w:id="0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bent vienu TGFβ/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akt</w:t>
      </w:r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vino</w:t>
      </w:r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="00490E69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odal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490E69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inhibitoriumi; ir</w:t>
      </w:r>
    </w:p>
    <w:p w14:paraId="0E130B0F" w14:textId="451A81D3" w:rsidR="00ED1584" w:rsidRPr="00CC2BE2" w:rsidRDefault="006848BC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>b) ląstel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="00143AFB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apjungimą sąveikai </w:t>
      </w:r>
      <w:r w:rsidR="00143AFB" w:rsidRPr="00CC2BE2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vienu </w:t>
      </w:r>
      <w:proofErr w:type="spellStart"/>
      <w:r w:rsidR="00ED1584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Sonic</w:t>
      </w:r>
      <w:proofErr w:type="spellEnd"/>
      <w:r w:rsidR="00ED1584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ED1584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Hedgehog</w:t>
      </w:r>
      <w:proofErr w:type="spellEnd"/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(SHH) signali</w:t>
      </w:r>
      <w:r w:rsidR="00143AFB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aktyvatorium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ir bent vienu </w:t>
      </w:r>
      <w:proofErr w:type="spellStart"/>
      <w:r w:rsidR="00143AFB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wingless</w:t>
      </w:r>
      <w:proofErr w:type="spellEnd"/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>) signali</w:t>
      </w:r>
      <w:r w:rsidR="00143AFB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="00ED158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aktyvatoriumi,</w:t>
      </w:r>
    </w:p>
    <w:p w14:paraId="142B682E" w14:textId="57C293F9" w:rsidR="00067088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kur bent vieno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</w:t>
      </w:r>
      <w:r w:rsidR="00362BCA" w:rsidRPr="00CC2BE2">
        <w:rPr>
          <w:rFonts w:ascii="Helvetica" w:eastAsia="Times New Roman" w:hAnsi="Helvetica" w:cs="Arial"/>
          <w:sz w:val="20"/>
          <w:szCs w:val="24"/>
          <w:lang w:eastAsia="lt-LT"/>
        </w:rPr>
        <w:t>inio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aktyvatoriaus koncentracija </w:t>
      </w:r>
      <w:r w:rsidR="00362BCA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didinama (i)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tarpe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nuo 2 iki 6 dienų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>, skaičiuojant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nuo jo pradinio </w:t>
      </w:r>
      <w:r w:rsidR="00362BCA" w:rsidRPr="00CC2BE2">
        <w:rPr>
          <w:rFonts w:ascii="Helvetica" w:eastAsia="Times New Roman" w:hAnsi="Helvetica" w:cs="Arial"/>
          <w:sz w:val="20"/>
          <w:szCs w:val="24"/>
          <w:lang w:eastAsia="lt-LT"/>
        </w:rPr>
        <w:t>sąlyčio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ląstelėmis ir (ii) nuo 250% iki 1800% jo pradinės koncentracijos,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kuri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turėj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74330B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są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>lytį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ląstelėmis,</w:t>
      </w:r>
      <w:r w:rsidR="0074330B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tam, kad būtų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gaut</w:t>
      </w:r>
      <w:r w:rsidR="0074330B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a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diferencijuotų ląstelių populiacij</w:t>
      </w:r>
      <w:r w:rsidR="0074330B" w:rsidRPr="00CC2BE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74330B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vykdanti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74330B" w:rsidRPr="00CC2BE2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forkhead</w:t>
      </w:r>
      <w:r w:rsidR="00141010" w:rsidRPr="003A35D5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-</w:t>
      </w:r>
      <w:r w:rsidR="003A35D5" w:rsidRPr="003A35D5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box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</w:t>
      </w:r>
      <w:r w:rsidR="0074330B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A2 (FOXA2) ir LIM </w:t>
      </w:r>
      <w:proofErr w:type="spellStart"/>
      <w:r w:rsidR="00067088" w:rsidRPr="003A35D5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homeobo</w:t>
      </w:r>
      <w:r w:rsidR="003A35D5" w:rsidRPr="003A35D5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x</w:t>
      </w:r>
      <w:proofErr w:type="spellEnd"/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transkripcijos faktoriaus 1 alfa (LMX1A), raišką.</w:t>
      </w:r>
    </w:p>
    <w:p w14:paraId="3FA34763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276DDE" w14:textId="0EA4011C" w:rsidR="00067088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Būdas pagal 1 punktą, papildomai apimantis ląstelių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apjungimą sąveikai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su bent vienu kaulų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morfogenetinio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baltymo (BMP) ir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Small</w:t>
      </w:r>
      <w:proofErr w:type="spellEnd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Mothers</w:t>
      </w:r>
      <w:proofErr w:type="spellEnd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Against</w:t>
      </w:r>
      <w:proofErr w:type="spellEnd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067088"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Decapentaplegic</w:t>
      </w:r>
      <w:proofErr w:type="spellEnd"/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>(SMAD) signalinio kelio inhibitoriumi.</w:t>
      </w:r>
    </w:p>
    <w:p w14:paraId="76B438C0" w14:textId="6525DC9E" w:rsidR="00ED1584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932786E" w14:textId="18118EEF" w:rsidR="005442A7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2 punktą, kur ląstelės </w:t>
      </w:r>
      <w:r w:rsidR="00141010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apjungiamos sąveikai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su bent vienu TGFβ/</w:t>
      </w:r>
      <w:proofErr w:type="spellStart"/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tivin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Pr="00890EC4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odal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inhibitoriumi, bent vienu BMP/SMAD signali</w:t>
      </w:r>
      <w:r w:rsidR="00067088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inhibitoriumi ir bent vienu </w:t>
      </w:r>
      <w:proofErr w:type="spellStart"/>
      <w:r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Sonic</w:t>
      </w:r>
      <w:proofErr w:type="spellEnd"/>
      <w:r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Hedgehog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(SHH) signali</w:t>
      </w:r>
      <w:r w:rsidR="005442A7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aktyvatoriumi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, tarpe 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="005442A7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4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dienų</w:t>
      </w:r>
      <w:r w:rsidR="005442A7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iki</w:t>
      </w:r>
      <w:r w:rsidR="005442A7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10 dienų arba iki 7 dienų, arba bent 7 dien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>om</w:t>
      </w:r>
      <w:r w:rsidR="005442A7" w:rsidRPr="00CC2BE2">
        <w:rPr>
          <w:rFonts w:ascii="Helvetica" w:eastAsia="Times New Roman" w:hAnsi="Helvetica" w:cs="Arial"/>
          <w:sz w:val="20"/>
          <w:szCs w:val="24"/>
          <w:lang w:eastAsia="lt-LT"/>
        </w:rPr>
        <w:t>s.</w:t>
      </w:r>
    </w:p>
    <w:p w14:paraId="4CBACAF2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7129CBC" w14:textId="77777777" w:rsidR="00CC2BE2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Būdas pagal 2 punktą, kur ląstelės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apjungiamos sąveikai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bent vienu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aktyvatoriumi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>, tarpe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8 i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ki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15 dienų arba iki 12 dienų, arba</w:t>
      </w:r>
      <w:r w:rsidR="005442A7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bent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12 dienų.</w:t>
      </w:r>
    </w:p>
    <w:p w14:paraId="2403BC92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314E836" w14:textId="77777777" w:rsid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1-4 punktų, kur bent vieno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aktyvatoriaus koncentracija 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didinama 4 dienas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>, skaičiuojant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nuo jo pradinio </w:t>
      </w:r>
      <w:r w:rsidR="00D36906" w:rsidRPr="00CC2BE2">
        <w:rPr>
          <w:rFonts w:ascii="Helvetica" w:eastAsia="Times New Roman" w:hAnsi="Helvetica" w:cs="Arial"/>
          <w:sz w:val="20"/>
          <w:szCs w:val="24"/>
          <w:lang w:eastAsia="lt-LT"/>
        </w:rPr>
        <w:t>sąlyčio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ląstelėmis.</w:t>
      </w:r>
    </w:p>
    <w:p w14:paraId="720C59D6" w14:textId="77777777" w:rsid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AF5EEE5" w14:textId="041D45D3" w:rsidR="006F77E6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1-5 punktų, kur bent vieno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6F77E6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aktyvatoriaus koncentracijos padidėjimas yra nuo 400% iki 1450%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tos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pradinės koncentracijos bent vieno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6F77E6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aktyvatoriaus,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kuri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F77E6" w:rsidRPr="00CC2BE2">
        <w:rPr>
          <w:rFonts w:ascii="Helvetica" w:eastAsia="Times New Roman" w:hAnsi="Helvetica" w:cs="Arial"/>
          <w:sz w:val="20"/>
          <w:szCs w:val="24"/>
          <w:lang w:eastAsia="lt-LT"/>
        </w:rPr>
        <w:t>turėj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6F77E6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sąlytį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su ląstelėmis, arba nuo 700% iki 1050%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tos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pradinės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koncentracijos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vieno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</w:t>
      </w:r>
      <w:r w:rsidR="006F77E6" w:rsidRPr="00CC2BE2">
        <w:rPr>
          <w:rFonts w:ascii="Helvetica" w:eastAsia="Times New Roman" w:hAnsi="Helvetica" w:cs="Arial"/>
          <w:sz w:val="20"/>
          <w:szCs w:val="24"/>
          <w:lang w:eastAsia="lt-LT"/>
        </w:rPr>
        <w:t>inio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aktyvatoriaus,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kuri turėjo sąlytį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r w:rsidR="006F77E6" w:rsidRPr="00CC2BE2">
        <w:rPr>
          <w:rFonts w:ascii="Helvetica" w:eastAsia="Times New Roman" w:hAnsi="Helvetica" w:cs="Arial"/>
          <w:sz w:val="20"/>
          <w:szCs w:val="24"/>
          <w:lang w:eastAsia="lt-LT"/>
        </w:rPr>
        <w:t>ląstelėmis.</w:t>
      </w:r>
    </w:p>
    <w:p w14:paraId="7AA9E302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09939C4" w14:textId="01755125" w:rsidR="0043456A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1-6 punktų, kur bent vieno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415BD8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aktyvatoriaus koncentracijos padidėjimas yr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koncentracijos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padidėjimas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nuo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3 µM i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ki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10 µM, arba 3 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µM, arba 7,5 µM.</w:t>
      </w:r>
    </w:p>
    <w:p w14:paraId="7E38D79B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C5BFBA" w14:textId="42C2A030" w:rsid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Būdas pagal bet kurį iš 1-7 punktų, kur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diferencijuotos ląstelės 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vykdo raišką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vien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ar daugiau iš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: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tirozino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hidroksilazės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(TH), </w:t>
      </w:r>
      <w:r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engrailed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-1 (EN-1) ir su branduoli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receptoriumi susijusio-1 baltymo (NURR1), kur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diferencijuot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s ląstelės ne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vykdo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007971"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paired-</w:t>
      </w:r>
      <w:r w:rsidR="0043456A"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bo</w:t>
      </w:r>
      <w:r w:rsidR="004F4E21"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x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baltymo (PAX6) ir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007971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Ki67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raiškos aptinkamu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lygi</w:t>
      </w:r>
      <w:r w:rsidR="0043456A" w:rsidRPr="00CC2BE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A5543D5" w14:textId="77777777" w:rsid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B5A02AA" w14:textId="631CB50E" w:rsidR="00573F94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Būdas pagal bet kurį iš 1-8 punktų, kur būdas papildomai apima</w:t>
      </w:r>
      <w:r w:rsidR="00657E11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diferencijuotų ląstelių populiacij</w:t>
      </w:r>
      <w:r w:rsidR="00657E11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os 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patalpinimą į sąlygas, kurios būtų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palankios ląstelių br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ndimui į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dopamin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inius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neuronus, pasirinktinai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kur sąlygos apima ląstelių 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apjungimą 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į 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sąly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tį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su smegenų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neurotrofiniu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faktoriumi (BDNF),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glijos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neurotrofini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faktoriu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(GDNF), ciklini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adenozino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monofosfat</w:t>
      </w:r>
      <w:r w:rsidR="002334B9" w:rsidRPr="00CC2BE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cAMP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), transformuojan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>čiu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augimo faktoriu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beta 3 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(TGFβ3), </w:t>
      </w:r>
      <w:proofErr w:type="spellStart"/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>askorbo</w:t>
      </w:r>
      <w:proofErr w:type="spellEnd"/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rūgštimi (AA) 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="00573F94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DAPT.</w:t>
      </w:r>
    </w:p>
    <w:p w14:paraId="2E40A050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4C647B" w14:textId="085E3E89" w:rsidR="00F2124E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1-9 punktų, kur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pluripotentinės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ląstelės yra parinktos iš grupės, susidedančios iš žmogaus neembrioninių kamieninių ląstelių, primatų neembrioninių kamieninių ląstelių,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graužikų neembrioninių kamieninių ląstelių, žmogaus embrioninių kamieninių ląstelių, primatų embrioninių 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kamieninių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ląstelių, graužikų</w:t>
      </w:r>
      <w:r w:rsidR="00854963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embrionin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C62CAF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indukuotų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, primatų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indukuotų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nių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graužikų 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indukuotų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kamienin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, žmogaus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rekombinantin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, primatų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rekombinantin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ir graužikų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rekombinantin</w:t>
      </w:r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pluripotentinių</w:t>
      </w:r>
      <w:proofErr w:type="spellEnd"/>
      <w:r w:rsidR="00F2124E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ląstelių.</w:t>
      </w:r>
    </w:p>
    <w:p w14:paraId="5BA02825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00CE13" w14:textId="318A5AA6" w:rsidR="00ED1584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Būdas pagal bet kurį iš 2-10 punktų, kur</w:t>
      </w:r>
    </w:p>
    <w:p w14:paraId="5DEEA464" w14:textId="5892FCF8" w:rsidR="00ED1584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(a) bent vienas TGFβ/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akt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vino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4F4E21"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="00205E77" w:rsidRPr="004F4E21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odal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inhibitorius apima TGFβ receptoriaus inhibitorių, 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pasirinktinai,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kur TGFβ receptoriaus inhibitorius 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4-[4-(1,3-benzodioksol-5-il)-5-(2-piridinil)-1H-imidazol-2-il]benzamid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ą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(SB431542); 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2725715D" w14:textId="5ACC4D50" w:rsidR="00ED1584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(b) bent vienas BMP ir SMAD signali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inhibitorius apima 4-(6-(4-(piperazin-1-il)fenil)pirazolo[1,5-a]pirimidin-3-il)chinoliną (LDN193189), </w:t>
      </w:r>
      <w:proofErr w:type="spellStart"/>
      <w:r w:rsidRPr="00995658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Noggin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pirmiau minėtų </w:t>
      </w:r>
      <w:r w:rsidR="00C62CAF" w:rsidRPr="00CC2BE2">
        <w:rPr>
          <w:rFonts w:ascii="Helvetica" w:eastAsia="Times New Roman" w:hAnsi="Helvetica" w:cs="Arial"/>
          <w:sz w:val="20"/>
          <w:szCs w:val="24"/>
          <w:lang w:eastAsia="lt-LT"/>
        </w:rPr>
        <w:t>medžiagų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derinį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627AB8E0" w14:textId="4EBA6379" w:rsidR="00ED1584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(c) bent vienas SHH signali</w:t>
      </w:r>
      <w:r w:rsidR="00205E77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aktyvatorius apima SHH baltymą, </w:t>
      </w:r>
      <w:proofErr w:type="spellStart"/>
      <w:r w:rsidR="00480FBC" w:rsidRPr="00995658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Smoothened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agonistą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pirmiau minėtų </w:t>
      </w:r>
      <w:r w:rsidR="00C62CAF" w:rsidRPr="00CC2BE2">
        <w:rPr>
          <w:rFonts w:ascii="Helvetica" w:eastAsia="Times New Roman" w:hAnsi="Helvetica" w:cs="Arial"/>
          <w:sz w:val="20"/>
          <w:szCs w:val="24"/>
          <w:lang w:eastAsia="lt-LT"/>
        </w:rPr>
        <w:t>medžiagų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derinį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(i) kur SHH baltymas apima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rekombinantinį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SHH, išgrynintą SHH arba </w:t>
      </w:r>
      <w:r w:rsidR="00C62CAF" w:rsidRPr="00CC2BE2">
        <w:rPr>
          <w:rFonts w:ascii="Helvetica" w:eastAsia="Times New Roman" w:hAnsi="Helvetica" w:cs="Arial"/>
          <w:sz w:val="20"/>
          <w:szCs w:val="24"/>
          <w:lang w:eastAsia="lt-LT"/>
        </w:rPr>
        <w:t>pirmi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>au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minėtų </w:t>
      </w:r>
      <w:r w:rsidR="00C62CAF" w:rsidRPr="00CC2BE2">
        <w:rPr>
          <w:rFonts w:ascii="Helvetica" w:eastAsia="Times New Roman" w:hAnsi="Helvetica" w:cs="Arial"/>
          <w:sz w:val="20"/>
          <w:szCs w:val="24"/>
          <w:lang w:eastAsia="lt-LT"/>
        </w:rPr>
        <w:t>medžiagų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derinį 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(ii) kur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rekombinantinis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SHH apima SHH C25II, 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(iii) kur </w:t>
      </w:r>
      <w:proofErr w:type="spellStart"/>
      <w:r w:rsidR="00480FBC" w:rsidRPr="00A138AD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Smoothened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agonistas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purmorfaminą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4F4E21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19135D24" w14:textId="651794A3" w:rsidR="00ED1584" w:rsidRPr="00CC2BE2" w:rsidRDefault="00ED1584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(d) bent vienas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Wnt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</w:t>
      </w:r>
      <w:r w:rsidR="00480FBC" w:rsidRPr="00CC2BE2">
        <w:rPr>
          <w:rFonts w:ascii="Helvetica" w:eastAsia="Times New Roman" w:hAnsi="Helvetica" w:cs="Arial"/>
          <w:sz w:val="20"/>
          <w:szCs w:val="24"/>
          <w:lang w:eastAsia="lt-LT"/>
        </w:rPr>
        <w:t>nio kelio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aktyvatorius apima CHIR99021, Wnt3A, Wnt1 arba </w:t>
      </w:r>
      <w:bookmarkStart w:id="1" w:name="_Hlk99026984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pirmiau minėtų </w:t>
      </w:r>
      <w:r w:rsidR="00FE4558" w:rsidRPr="00CC2BE2">
        <w:rPr>
          <w:rFonts w:ascii="Helvetica" w:eastAsia="Times New Roman" w:hAnsi="Helvetica" w:cs="Arial"/>
          <w:sz w:val="20"/>
          <w:szCs w:val="24"/>
          <w:lang w:eastAsia="lt-LT"/>
        </w:rPr>
        <w:t>medžiagų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derinį</w:t>
      </w:r>
      <w:bookmarkEnd w:id="1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47822E0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759FF70" w14:textId="77777777" w:rsidR="00CC2BE2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1-11 punktų, kur diferencijuotos ląstelės, 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>vykdančios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FOXA2 ir LMX1A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raišką,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yra vidurin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smegenų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dopamin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>iniai</w:t>
      </w:r>
      <w:proofErr w:type="spellEnd"/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neuronai arba jų pirmtakai.</w:t>
      </w:r>
    </w:p>
    <w:p w14:paraId="04726B7C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58C6D30" w14:textId="51B54E51" w:rsidR="00F33D2D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1-12 punktų, kur </w:t>
      </w:r>
      <w:proofErr w:type="spellStart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pluripotentinės</w:t>
      </w:r>
      <w:proofErr w:type="spellEnd"/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kamieninės ląstelės yra diferencijuojamos į diferencijuotas ląsteles, 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vykdančias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FOXA2 ir LMX1A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ne vėliau kaip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tarpe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nuo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22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dienų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iki 27 dienų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>, skaičiuojant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nuo jų pradinio 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>sąlyčio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su bent vienu </w:t>
      </w:r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>TGFβ/</w:t>
      </w:r>
      <w:proofErr w:type="spellStart"/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>aktivino-</w:t>
      </w:r>
      <w:r w:rsidR="00A138AD" w:rsidRPr="00A138AD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n</w:t>
      </w:r>
      <w:r w:rsidR="00F33D2D" w:rsidRPr="00A138AD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odal</w:t>
      </w:r>
      <w:proofErr w:type="spellEnd"/>
      <w:r w:rsidR="00F33D2D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signalinio kelio inhibitoriumi.</w:t>
      </w:r>
    </w:p>
    <w:p w14:paraId="04695836" w14:textId="77777777" w:rsidR="00CC2BE2" w:rsidRPr="00CC2BE2" w:rsidRDefault="00CC2BE2" w:rsidP="00CC2BE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0DFCEF9" w14:textId="6D42F7D1" w:rsidR="00C02D95" w:rsidRPr="00CC2BE2" w:rsidRDefault="00ED1584" w:rsidP="00CC2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CC2BE2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1-13 punktų, kur diferencijuotos ląstelės 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>vykdo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CD142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 aptinkamu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lyg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>iu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kur 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CC2BE2">
        <w:rPr>
          <w:rFonts w:ascii="Helvetica" w:eastAsia="Times New Roman" w:hAnsi="Helvetica" w:cs="Arial"/>
          <w:sz w:val="20"/>
          <w:szCs w:val="24"/>
          <w:lang w:eastAsia="lt-LT"/>
        </w:rPr>
        <w:t>das papildomai apima ląstelių</w:t>
      </w:r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populiacijos, </w:t>
      </w:r>
      <w:proofErr w:type="spellStart"/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>vykdančos</w:t>
      </w:r>
      <w:proofErr w:type="spellEnd"/>
      <w:r w:rsidR="00C02D95" w:rsidRPr="00CC2BE2">
        <w:rPr>
          <w:rFonts w:ascii="Helvetica" w:eastAsia="Times New Roman" w:hAnsi="Helvetica" w:cs="Arial"/>
          <w:sz w:val="20"/>
          <w:szCs w:val="24"/>
          <w:lang w:eastAsia="lt-LT"/>
        </w:rPr>
        <w:t xml:space="preserve"> CD142 raišką, atranką.</w:t>
      </w:r>
    </w:p>
    <w:sectPr w:rsidR="00C02D95" w:rsidRPr="00CC2BE2" w:rsidSect="00CC2BE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C6A3" w14:textId="77777777" w:rsidR="00D547CA" w:rsidRDefault="00D547CA" w:rsidP="000A06DF">
      <w:pPr>
        <w:spacing w:after="0" w:line="240" w:lineRule="auto"/>
      </w:pPr>
      <w:r>
        <w:separator/>
      </w:r>
    </w:p>
  </w:endnote>
  <w:endnote w:type="continuationSeparator" w:id="0">
    <w:p w14:paraId="48E50878" w14:textId="77777777" w:rsidR="00D547CA" w:rsidRDefault="00D547CA" w:rsidP="000A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2792" w14:textId="77777777" w:rsidR="00D547CA" w:rsidRDefault="00D547CA" w:rsidP="000A06DF">
      <w:pPr>
        <w:spacing w:after="0" w:line="240" w:lineRule="auto"/>
      </w:pPr>
      <w:r>
        <w:separator/>
      </w:r>
    </w:p>
  </w:footnote>
  <w:footnote w:type="continuationSeparator" w:id="0">
    <w:p w14:paraId="4F7D0B39" w14:textId="77777777" w:rsidR="00D547CA" w:rsidRDefault="00D547CA" w:rsidP="000A0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84"/>
    <w:rsid w:val="00007971"/>
    <w:rsid w:val="00067088"/>
    <w:rsid w:val="000A06DF"/>
    <w:rsid w:val="00141010"/>
    <w:rsid w:val="00143AFB"/>
    <w:rsid w:val="0017463B"/>
    <w:rsid w:val="00205E77"/>
    <w:rsid w:val="002334B9"/>
    <w:rsid w:val="00316A6B"/>
    <w:rsid w:val="00362BCA"/>
    <w:rsid w:val="003A35D5"/>
    <w:rsid w:val="003D3416"/>
    <w:rsid w:val="00415BD8"/>
    <w:rsid w:val="0043456A"/>
    <w:rsid w:val="00480FBC"/>
    <w:rsid w:val="00490E69"/>
    <w:rsid w:val="004F4E21"/>
    <w:rsid w:val="005442A7"/>
    <w:rsid w:val="00573F94"/>
    <w:rsid w:val="005C235F"/>
    <w:rsid w:val="00616A46"/>
    <w:rsid w:val="00657E11"/>
    <w:rsid w:val="006848BC"/>
    <w:rsid w:val="006F77E6"/>
    <w:rsid w:val="0074330B"/>
    <w:rsid w:val="00854963"/>
    <w:rsid w:val="00890EC4"/>
    <w:rsid w:val="00995658"/>
    <w:rsid w:val="00A138AD"/>
    <w:rsid w:val="00B34E2B"/>
    <w:rsid w:val="00C02D95"/>
    <w:rsid w:val="00C62CAF"/>
    <w:rsid w:val="00CC2BE2"/>
    <w:rsid w:val="00D36906"/>
    <w:rsid w:val="00D547CA"/>
    <w:rsid w:val="00ED1584"/>
    <w:rsid w:val="00F2124E"/>
    <w:rsid w:val="00F33D2D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04F22"/>
  <w15:chartTrackingRefBased/>
  <w15:docId w15:val="{76F16F91-2CDE-4D03-928C-2FEE94DB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6DF"/>
  </w:style>
  <w:style w:type="paragraph" w:styleId="Footer">
    <w:name w:val="footer"/>
    <w:basedOn w:val="Normal"/>
    <w:link w:val="FooterChar"/>
    <w:uiPriority w:val="99"/>
    <w:unhideWhenUsed/>
    <w:rsid w:val="000A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696</Words>
  <Characters>4695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2022-03-29T10:38:00Z</dcterms:created>
  <dcterms:modified xsi:type="dcterms:W3CDTF">2022-03-29T13:59:00Z</dcterms:modified>
</cp:coreProperties>
</file>