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26DA5" w14:textId="5EA381C6" w:rsidR="003B4D54" w:rsidRPr="00F971A2" w:rsidRDefault="00F31621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1. </w:t>
      </w:r>
      <w:proofErr w:type="spellStart"/>
      <w:r w:rsidR="0090118A" w:rsidRPr="00F971A2">
        <w:rPr>
          <w:rFonts w:ascii="Helvetica" w:hAnsi="Helvetica" w:cs="Helvetica"/>
          <w:sz w:val="20"/>
          <w:szCs w:val="22"/>
        </w:rPr>
        <w:t>Anti-Fc</w:t>
      </w:r>
      <w:proofErr w:type="spellEnd"/>
      <w:r w:rsidR="0090118A" w:rsidRPr="00F971A2">
        <w:rPr>
          <w:rFonts w:ascii="Helvetica" w:hAnsi="Helvetica" w:cs="Helvetica"/>
          <w:sz w:val="20"/>
          <w:szCs w:val="22"/>
        </w:rPr>
        <w:t xml:space="preserve"> receptoriaus </w:t>
      </w:r>
      <w:r w:rsidR="00B53602" w:rsidRPr="00F971A2">
        <w:rPr>
          <w:rFonts w:ascii="Helvetica" w:hAnsi="Helvetica" w:cs="Helvetica"/>
          <w:sz w:val="20"/>
          <w:szCs w:val="22"/>
        </w:rPr>
        <w:t>tipo</w:t>
      </w:r>
      <w:r w:rsidR="00D34A47" w:rsidRPr="00F971A2">
        <w:rPr>
          <w:rFonts w:ascii="Helvetica" w:hAnsi="Helvetica" w:cs="Helvetica"/>
          <w:sz w:val="20"/>
          <w:szCs w:val="22"/>
        </w:rPr>
        <w:t xml:space="preserve"> 5 baltymo</w:t>
      </w:r>
      <w:r w:rsidR="00B53602" w:rsidRPr="00F971A2">
        <w:rPr>
          <w:rFonts w:ascii="Helvetica" w:hAnsi="Helvetica" w:cs="Helvetica"/>
          <w:sz w:val="20"/>
          <w:szCs w:val="22"/>
        </w:rPr>
        <w:t xml:space="preserve"> antikūnas </w:t>
      </w:r>
      <w:r w:rsidR="00DB27C3" w:rsidRPr="00F971A2">
        <w:rPr>
          <w:rFonts w:ascii="Helvetica" w:hAnsi="Helvetica" w:cs="Helvetica"/>
          <w:sz w:val="20"/>
          <w:szCs w:val="22"/>
        </w:rPr>
        <w:t xml:space="preserve">(FcRH5) arba FcRH5 surišantis </w:t>
      </w:r>
      <w:r w:rsidR="00B53602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antikūno fragmentas, kur anti-FcRH5 antikūnas arba FcRH5 surišantis </w:t>
      </w:r>
      <w:r w:rsidR="00B53602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>antikūno fragmentas apima surišimo domeną, kuris apima:</w:t>
      </w:r>
    </w:p>
    <w:p w14:paraId="0560DC0F" w14:textId="1DB12AE0" w:rsidR="003B4D54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(a) </w:t>
      </w:r>
      <w:r w:rsidR="00DB27C3" w:rsidRPr="00F971A2">
        <w:rPr>
          <w:rFonts w:ascii="Helvetica" w:hAnsi="Helvetica" w:cs="Helvetica"/>
          <w:sz w:val="20"/>
          <w:szCs w:val="22"/>
        </w:rPr>
        <w:t>VH domeną, apimantį aminorūgščių seką SEQ ID Nr. 104, ir VL domeną, apimantį aminorūgščių seką SEQ ID Nr. 105;</w:t>
      </w:r>
    </w:p>
    <w:p w14:paraId="0736C4F1" w14:textId="13776310" w:rsidR="003B4D54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(b) </w:t>
      </w:r>
      <w:r w:rsidR="00DB27C3" w:rsidRPr="00F971A2">
        <w:rPr>
          <w:rFonts w:ascii="Helvetica" w:hAnsi="Helvetica" w:cs="Helvetica"/>
          <w:sz w:val="20"/>
          <w:szCs w:val="22"/>
        </w:rPr>
        <w:t>VH domeną, apimantį aminorūgščių seką SEQ ID Nr. 106, ir VL domeną, apimantį aminorūgščių seką SEQ ID Nr. 107;</w:t>
      </w:r>
    </w:p>
    <w:p w14:paraId="10E25F71" w14:textId="678891B6" w:rsidR="003B4D54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(c) </w:t>
      </w:r>
      <w:r w:rsidR="00DB27C3" w:rsidRPr="00F971A2">
        <w:rPr>
          <w:rFonts w:ascii="Helvetica" w:hAnsi="Helvetica" w:cs="Helvetica"/>
          <w:sz w:val="20"/>
          <w:szCs w:val="22"/>
        </w:rPr>
        <w:t>VH domeną, apimantį aminorūgščių seką SEQ ID Nr. 84, ir VL domeną, apimantį aminorūgščių seką SEQ ID Nr. 85;</w:t>
      </w:r>
    </w:p>
    <w:p w14:paraId="1D24057A" w14:textId="24F4EB3F" w:rsidR="003B4D54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(d) </w:t>
      </w:r>
      <w:r w:rsidR="00DB27C3" w:rsidRPr="00F971A2">
        <w:rPr>
          <w:rFonts w:ascii="Helvetica" w:hAnsi="Helvetica" w:cs="Helvetica"/>
          <w:sz w:val="20"/>
          <w:szCs w:val="22"/>
        </w:rPr>
        <w:t>VH domeną, apimantį aminorūgščių seką SEQ ID Nr. 86, ir VL domeną, apimantį aminorūgščių seką SEQ ID Nr. 87;</w:t>
      </w:r>
    </w:p>
    <w:p w14:paraId="4525A312" w14:textId="76CA2BCB" w:rsidR="003B4D54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(e) </w:t>
      </w:r>
      <w:r w:rsidR="00DB27C3" w:rsidRPr="00F971A2">
        <w:rPr>
          <w:rFonts w:ascii="Helvetica" w:hAnsi="Helvetica" w:cs="Helvetica"/>
          <w:sz w:val="20"/>
          <w:szCs w:val="22"/>
        </w:rPr>
        <w:t>VH domeną, apimantį aminorūgščių seką SEQ ID Nr. 88, ir VL domeną, apimantį aminorūgščių seką SEQ ID Nr. 89;</w:t>
      </w:r>
    </w:p>
    <w:p w14:paraId="703C2899" w14:textId="43930B12" w:rsidR="003B4D54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(f) </w:t>
      </w:r>
      <w:r w:rsidR="00DB27C3" w:rsidRPr="00F971A2">
        <w:rPr>
          <w:rFonts w:ascii="Helvetica" w:hAnsi="Helvetica" w:cs="Helvetica"/>
          <w:sz w:val="20"/>
          <w:szCs w:val="22"/>
        </w:rPr>
        <w:t>VH domeną, apimantį aminorūgščių seką SEQ ID Nr. 90, ir VL domeną, apimantį aminorūgščių seką SEQ ID Nr. 91;</w:t>
      </w:r>
    </w:p>
    <w:p w14:paraId="28DF632C" w14:textId="4B890F54" w:rsidR="003B4D54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(g) </w:t>
      </w:r>
      <w:r w:rsidR="00DB27C3" w:rsidRPr="00F971A2">
        <w:rPr>
          <w:rFonts w:ascii="Helvetica" w:hAnsi="Helvetica" w:cs="Helvetica"/>
          <w:sz w:val="20"/>
          <w:szCs w:val="22"/>
        </w:rPr>
        <w:t>VH domeną, apimantį aminorūgščių seką SEQ ID Nr. 92, ir VL domeną, apimantį aminorūgščių seką SEQ ID Nr. 93;</w:t>
      </w:r>
    </w:p>
    <w:p w14:paraId="2FEC4CF6" w14:textId="7E80DEF0" w:rsidR="003B4D54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(h) </w:t>
      </w:r>
      <w:r w:rsidR="00DB27C3" w:rsidRPr="00F971A2">
        <w:rPr>
          <w:rFonts w:ascii="Helvetica" w:hAnsi="Helvetica" w:cs="Helvetica"/>
          <w:sz w:val="20"/>
          <w:szCs w:val="22"/>
        </w:rPr>
        <w:t>VH domeną, apimantį aminorūgščių seką SEQ ID Nr. 96, ir VL domeną, apimantį aminorūgščių seką SEQ ID Nr. 97;</w:t>
      </w:r>
    </w:p>
    <w:p w14:paraId="24459D33" w14:textId="138B59E2" w:rsidR="003B4D54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(i) </w:t>
      </w:r>
      <w:r w:rsidR="00DB27C3" w:rsidRPr="00F971A2">
        <w:rPr>
          <w:rFonts w:ascii="Helvetica" w:hAnsi="Helvetica" w:cs="Helvetica"/>
          <w:sz w:val="20"/>
          <w:szCs w:val="22"/>
        </w:rPr>
        <w:t>VH domeną, apimantį aminorūgščių seką SEQ ID Nr. 98, ir VL domeną, apimantį aminorūgščių seką SEQ ID Nr. 99; arba</w:t>
      </w:r>
    </w:p>
    <w:p w14:paraId="7909956C" w14:textId="42287B92" w:rsidR="003B4D54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(j) </w:t>
      </w:r>
      <w:r w:rsidR="00DB27C3" w:rsidRPr="00F971A2">
        <w:rPr>
          <w:rFonts w:ascii="Helvetica" w:hAnsi="Helvetica" w:cs="Helvetica"/>
          <w:sz w:val="20"/>
          <w:szCs w:val="22"/>
        </w:rPr>
        <w:t>VH domeną, apimantį aminorūgščių seką SEQ ID Nr. 100, ir VL domeną, apimantį aminorūgščių seką SEQ ID Nr. 101.</w:t>
      </w:r>
    </w:p>
    <w:p w14:paraId="20881F7F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0C41F82A" w14:textId="1C93B7F4" w:rsidR="003B4D54" w:rsidRPr="00F971A2" w:rsidRDefault="00E11D45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2.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B53602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antikūno fragmentas pagal 1 punktą, kur anti-FcRH5 antikūnas arba FcRH5 surišantis </w:t>
      </w:r>
      <w:r w:rsidR="00B53602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antikūno fragmentas jungiasi prie </w:t>
      </w:r>
      <w:proofErr w:type="spellStart"/>
      <w:r w:rsidR="00DB27C3" w:rsidRPr="00F971A2">
        <w:rPr>
          <w:rFonts w:ascii="Helvetica" w:hAnsi="Helvetica" w:cs="Helvetica"/>
          <w:sz w:val="20"/>
          <w:szCs w:val="22"/>
        </w:rPr>
        <w:t>epitopo</w:t>
      </w:r>
      <w:proofErr w:type="spellEnd"/>
      <w:r w:rsidR="00DB27C3" w:rsidRPr="00F971A2">
        <w:rPr>
          <w:rFonts w:ascii="Helvetica" w:hAnsi="Helvetica" w:cs="Helvetica"/>
          <w:sz w:val="20"/>
          <w:szCs w:val="22"/>
        </w:rPr>
        <w:t xml:space="preserve">, esančio FcRH5 </w:t>
      </w:r>
      <w:proofErr w:type="spellStart"/>
      <w:r w:rsidR="00DB27C3" w:rsidRPr="00F971A2">
        <w:rPr>
          <w:rFonts w:ascii="Helvetica" w:hAnsi="Helvetica" w:cs="Helvetica"/>
          <w:sz w:val="20"/>
          <w:szCs w:val="22"/>
        </w:rPr>
        <w:t>Ig</w:t>
      </w:r>
      <w:proofErr w:type="spellEnd"/>
      <w:r w:rsidR="00DB27C3" w:rsidRPr="00F971A2">
        <w:rPr>
          <w:rFonts w:ascii="Helvetica" w:hAnsi="Helvetica" w:cs="Helvetica"/>
          <w:sz w:val="20"/>
          <w:szCs w:val="22"/>
        </w:rPr>
        <w:t xml:space="preserve"> </w:t>
      </w:r>
      <w:r w:rsidR="00B53602" w:rsidRPr="00F971A2">
        <w:rPr>
          <w:rFonts w:ascii="Helvetica" w:hAnsi="Helvetica" w:cs="Helvetica"/>
          <w:sz w:val="20"/>
          <w:szCs w:val="22"/>
        </w:rPr>
        <w:t xml:space="preserve">tipo </w:t>
      </w:r>
      <w:r w:rsidR="00DB27C3" w:rsidRPr="00F971A2">
        <w:rPr>
          <w:rFonts w:ascii="Helvetica" w:hAnsi="Helvetica" w:cs="Helvetica"/>
          <w:sz w:val="20"/>
          <w:szCs w:val="22"/>
        </w:rPr>
        <w:t>9 domene.</w:t>
      </w:r>
    </w:p>
    <w:p w14:paraId="58B481BD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203969DE" w14:textId="020EB416" w:rsidR="003B4D54" w:rsidRPr="00F971A2" w:rsidRDefault="00E11D45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3.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B53602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antikūno fragmentas pagal 2 punktą, kur </w:t>
      </w:r>
      <w:proofErr w:type="spellStart"/>
      <w:r w:rsidR="00DB27C3" w:rsidRPr="00F971A2">
        <w:rPr>
          <w:rFonts w:ascii="Helvetica" w:hAnsi="Helvetica" w:cs="Helvetica"/>
          <w:sz w:val="20"/>
          <w:szCs w:val="22"/>
        </w:rPr>
        <w:t>epitopas</w:t>
      </w:r>
      <w:proofErr w:type="spellEnd"/>
      <w:r w:rsidR="00DB27C3" w:rsidRPr="00F971A2">
        <w:rPr>
          <w:rFonts w:ascii="Helvetica" w:hAnsi="Helvetica" w:cs="Helvetica"/>
          <w:sz w:val="20"/>
          <w:szCs w:val="22"/>
        </w:rPr>
        <w:t xml:space="preserve"> apima 745–850 aminorūgščių, nurodytų sekoje SEQ ID Nr. 114, dalį.</w:t>
      </w:r>
    </w:p>
    <w:p w14:paraId="3D260A16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53E269A9" w14:textId="1FAF4787" w:rsidR="003B4D54" w:rsidRPr="00F971A2" w:rsidRDefault="00E11D45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4.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B53602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antikūno fragmentas pagal bet kurį iš 1–3 punktų, kur anti-FcRH5 antikūnas arba FcRH5 surišantis </w:t>
      </w:r>
      <w:r w:rsidR="00B53602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antikūno fragmentas apima </w:t>
      </w:r>
      <w:proofErr w:type="spellStart"/>
      <w:r w:rsidR="00DB27C3" w:rsidRPr="00F971A2">
        <w:rPr>
          <w:rFonts w:ascii="Helvetica" w:hAnsi="Helvetica" w:cs="Helvetica"/>
          <w:sz w:val="20"/>
          <w:szCs w:val="22"/>
        </w:rPr>
        <w:t>neglikozilinimo</w:t>
      </w:r>
      <w:proofErr w:type="spellEnd"/>
      <w:r w:rsidR="00DB27C3" w:rsidRPr="00F971A2">
        <w:rPr>
          <w:rFonts w:ascii="Helvetica" w:hAnsi="Helvetica" w:cs="Helvetica"/>
          <w:sz w:val="20"/>
          <w:szCs w:val="22"/>
        </w:rPr>
        <w:t xml:space="preserve"> vietos mutaciją.</w:t>
      </w:r>
    </w:p>
    <w:p w14:paraId="642F8365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7CA9A7F3" w14:textId="7120FABF" w:rsidR="003B4D54" w:rsidRPr="00F971A2" w:rsidRDefault="00E11D45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5.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B53602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antikūno fragmentas pagal 4 punktą, kur </w:t>
      </w:r>
      <w:proofErr w:type="spellStart"/>
      <w:r w:rsidR="00DB27C3" w:rsidRPr="00F971A2">
        <w:rPr>
          <w:rFonts w:ascii="Helvetica" w:hAnsi="Helvetica" w:cs="Helvetica"/>
          <w:sz w:val="20"/>
          <w:szCs w:val="22"/>
        </w:rPr>
        <w:t>neglikozilinimo</w:t>
      </w:r>
      <w:proofErr w:type="spellEnd"/>
      <w:r w:rsidR="00DB27C3" w:rsidRPr="00F971A2">
        <w:rPr>
          <w:rFonts w:ascii="Helvetica" w:hAnsi="Helvetica" w:cs="Helvetica"/>
          <w:sz w:val="20"/>
          <w:szCs w:val="22"/>
        </w:rPr>
        <w:t xml:space="preserve"> vietos mutacija yra pakaitos mutacija aminorūgšties liekanoje N297, D265 ir (arba) P329 pagal ES numeraciją.</w:t>
      </w:r>
    </w:p>
    <w:p w14:paraId="167091CE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0C6AA024" w14:textId="51E25A8E" w:rsidR="003B4D54" w:rsidRPr="00F971A2" w:rsidRDefault="00E11D45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6.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9A5F5C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antikūno fragmentas pagal 4 arba 5 punktą, kur </w:t>
      </w:r>
      <w:proofErr w:type="spellStart"/>
      <w:r w:rsidR="00DB27C3" w:rsidRPr="00F971A2">
        <w:rPr>
          <w:rFonts w:ascii="Helvetica" w:hAnsi="Helvetica" w:cs="Helvetica"/>
          <w:sz w:val="20"/>
          <w:szCs w:val="22"/>
        </w:rPr>
        <w:t>neglikozilinimo</w:t>
      </w:r>
      <w:proofErr w:type="spellEnd"/>
      <w:r w:rsidR="00DB27C3" w:rsidRPr="00F971A2">
        <w:rPr>
          <w:rFonts w:ascii="Helvetica" w:hAnsi="Helvetica" w:cs="Helvetica"/>
          <w:sz w:val="20"/>
          <w:szCs w:val="22"/>
        </w:rPr>
        <w:t xml:space="preserve"> vietos mutacija yra pakaitos mutacija, parinkta iš grupės, kurią sudaro N297G, N297A, D265A ir P329G.</w:t>
      </w:r>
    </w:p>
    <w:p w14:paraId="5AAE6A3B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78A94AEB" w14:textId="6A52001F" w:rsidR="003B4D54" w:rsidRPr="00F971A2" w:rsidRDefault="00E11D45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lastRenderedPageBreak/>
        <w:t xml:space="preserve">7.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9A5F5C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>antikūno fragmentas pagal 6 punktą, kur pakaitos mutacija yra N297G pakaitos mutacija.</w:t>
      </w:r>
    </w:p>
    <w:p w14:paraId="3BCD23EC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10CB8042" w14:textId="3C55C77A" w:rsidR="003B4D54" w:rsidRPr="00F971A2" w:rsidRDefault="00E11D45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8.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9A5F5C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antikūno fragmentas pagal bet kurį iš 1–7 punktų, kur anti-FcRH5 antikūnas yra </w:t>
      </w:r>
      <w:proofErr w:type="spellStart"/>
      <w:r w:rsidR="00DB27C3" w:rsidRPr="00F971A2">
        <w:rPr>
          <w:rFonts w:ascii="Helvetica" w:hAnsi="Helvetica" w:cs="Helvetica"/>
          <w:sz w:val="20"/>
          <w:szCs w:val="22"/>
        </w:rPr>
        <w:t>monokloninis</w:t>
      </w:r>
      <w:proofErr w:type="spellEnd"/>
      <w:r w:rsidR="00DB27C3" w:rsidRPr="00F971A2">
        <w:rPr>
          <w:rFonts w:ascii="Helvetica" w:hAnsi="Helvetica" w:cs="Helvetica"/>
          <w:sz w:val="20"/>
          <w:szCs w:val="22"/>
        </w:rPr>
        <w:t>, humanizuotas arba chimerinis antikūnas.</w:t>
      </w:r>
    </w:p>
    <w:p w14:paraId="29843A62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3B3820FA" w14:textId="4E80B8D7" w:rsidR="003B4D54" w:rsidRPr="00F971A2" w:rsidRDefault="0087491E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9.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9A5F5C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>antikūno fragmentas pagal 8 punktą, kur anti-FcRH5 antikūnas yra humanizuotas antikūnas.</w:t>
      </w:r>
    </w:p>
    <w:p w14:paraId="06F2DCEB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4015D690" w14:textId="61ECC10F" w:rsidR="003B4D54" w:rsidRPr="00F971A2" w:rsidRDefault="0087491E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10.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9A5F5C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>antikūno fragmentas pagal bet kurį iš 1–9 punktų, kur anti-FcRH5 antikūnas yra viso ilgio antikūnas.</w:t>
      </w:r>
    </w:p>
    <w:p w14:paraId="7D1B981F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2BF7B242" w14:textId="762AA8C7" w:rsidR="003B4D54" w:rsidRPr="00F971A2" w:rsidRDefault="0087491E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11.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9A5F5C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antikūno fragmentas pagal bet kurį iš 1–10 punktų, kur anti-FcRH5 antikūnas arba FcRH5 surišantis </w:t>
      </w:r>
      <w:r w:rsidR="009A5F5C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antikūno fragmentas yra </w:t>
      </w:r>
      <w:proofErr w:type="spellStart"/>
      <w:r w:rsidR="009A5F5C" w:rsidRPr="00F971A2">
        <w:rPr>
          <w:rFonts w:ascii="Helvetica" w:hAnsi="Helvetica" w:cs="Helvetica"/>
          <w:sz w:val="20"/>
          <w:szCs w:val="22"/>
        </w:rPr>
        <w:t>daugiaspecifinis</w:t>
      </w:r>
      <w:proofErr w:type="spellEnd"/>
      <w:r w:rsidR="009A5F5C" w:rsidRPr="00F971A2">
        <w:rPr>
          <w:rFonts w:ascii="Helvetica" w:hAnsi="Helvetica" w:cs="Helvetica"/>
          <w:sz w:val="20"/>
          <w:szCs w:val="22"/>
        </w:rPr>
        <w:t xml:space="preserve"> </w:t>
      </w:r>
      <w:r w:rsidR="00DB27C3" w:rsidRPr="00F971A2">
        <w:rPr>
          <w:rFonts w:ascii="Helvetica" w:hAnsi="Helvetica" w:cs="Helvetica"/>
          <w:sz w:val="20"/>
          <w:szCs w:val="22"/>
        </w:rPr>
        <w:t>antikūnas.</w:t>
      </w:r>
    </w:p>
    <w:p w14:paraId="10E2303D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005C7CE7" w14:textId="0872CFB3" w:rsidR="003B4D54" w:rsidRPr="00F971A2" w:rsidRDefault="0087491E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12.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9A5F5C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antikūno fragmentas pagal 11 punktą, kur </w:t>
      </w:r>
      <w:proofErr w:type="spellStart"/>
      <w:r w:rsidR="009A5F5C" w:rsidRPr="00F971A2">
        <w:rPr>
          <w:rFonts w:ascii="Helvetica" w:hAnsi="Helvetica" w:cs="Helvetica"/>
          <w:sz w:val="20"/>
          <w:szCs w:val="22"/>
        </w:rPr>
        <w:t>daugiaspecifinis</w:t>
      </w:r>
      <w:proofErr w:type="spellEnd"/>
      <w:r w:rsidR="009A5F5C" w:rsidRPr="00F971A2">
        <w:rPr>
          <w:rFonts w:ascii="Helvetica" w:hAnsi="Helvetica" w:cs="Helvetica"/>
          <w:sz w:val="20"/>
          <w:szCs w:val="22"/>
        </w:rPr>
        <w:t xml:space="preserve">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antikūnas yra </w:t>
      </w:r>
      <w:proofErr w:type="spellStart"/>
      <w:r w:rsidR="00DB27C3" w:rsidRPr="00F971A2">
        <w:rPr>
          <w:rFonts w:ascii="Helvetica" w:hAnsi="Helvetica" w:cs="Helvetica"/>
          <w:sz w:val="20"/>
          <w:szCs w:val="22"/>
        </w:rPr>
        <w:t>bispecifinis</w:t>
      </w:r>
      <w:proofErr w:type="spellEnd"/>
      <w:r w:rsidR="00DB27C3" w:rsidRPr="00F971A2">
        <w:rPr>
          <w:rFonts w:ascii="Helvetica" w:hAnsi="Helvetica" w:cs="Helvetica"/>
          <w:sz w:val="20"/>
          <w:szCs w:val="22"/>
        </w:rPr>
        <w:t xml:space="preserve"> antikūnas, apimantis antrąjį surišimo domeną, kuris suriša diferenciacijos klasterį </w:t>
      </w:r>
      <w:r w:rsidR="009A5F5C" w:rsidRPr="00F971A2">
        <w:rPr>
          <w:rFonts w:ascii="Helvetica" w:hAnsi="Helvetica" w:cs="Helvetica"/>
          <w:sz w:val="20"/>
          <w:szCs w:val="22"/>
        </w:rPr>
        <w:t xml:space="preserve">3 </w:t>
      </w:r>
      <w:r w:rsidR="00DB27C3" w:rsidRPr="00F971A2">
        <w:rPr>
          <w:rFonts w:ascii="Helvetica" w:hAnsi="Helvetica" w:cs="Helvetica"/>
          <w:sz w:val="20"/>
          <w:szCs w:val="22"/>
        </w:rPr>
        <w:t>(CD3).</w:t>
      </w:r>
    </w:p>
    <w:p w14:paraId="413C5069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124B6219" w14:textId="2B69336A" w:rsidR="003B4D54" w:rsidRPr="00F971A2" w:rsidRDefault="0087491E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13.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9A5F5C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>antikūno fragmentas pagal 12 punktą, kur antrasis surišimo domenas apima šias šešias HVR:</w:t>
      </w:r>
    </w:p>
    <w:p w14:paraId="02D3E429" w14:textId="7D09516C" w:rsidR="003B4D54" w:rsidRPr="00F971A2" w:rsidRDefault="0087491E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(a) </w:t>
      </w:r>
      <w:r w:rsidR="00DB27C3" w:rsidRPr="00F971A2">
        <w:rPr>
          <w:rFonts w:ascii="Helvetica" w:hAnsi="Helvetica" w:cs="Helvetica"/>
          <w:sz w:val="20"/>
          <w:szCs w:val="22"/>
        </w:rPr>
        <w:t>HVR-H1, apimančią aminorūgščių seką SEQ ID Nr. 115;</w:t>
      </w:r>
    </w:p>
    <w:p w14:paraId="01288504" w14:textId="06F07AB7" w:rsidR="003B4D54" w:rsidRPr="00F971A2" w:rsidRDefault="0087491E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(b) </w:t>
      </w:r>
      <w:r w:rsidR="00DB27C3" w:rsidRPr="00F971A2">
        <w:rPr>
          <w:rFonts w:ascii="Helvetica" w:hAnsi="Helvetica" w:cs="Helvetica"/>
          <w:sz w:val="20"/>
          <w:szCs w:val="22"/>
        </w:rPr>
        <w:t>HVR-H2, apimančią aminorūgščių seką SEQ ID Nr. 116;</w:t>
      </w:r>
    </w:p>
    <w:p w14:paraId="77FAD1DC" w14:textId="04A39719" w:rsidR="003B4D54" w:rsidRPr="00F971A2" w:rsidRDefault="0087491E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(c) </w:t>
      </w:r>
      <w:r w:rsidR="00DB27C3" w:rsidRPr="00F971A2">
        <w:rPr>
          <w:rFonts w:ascii="Helvetica" w:hAnsi="Helvetica" w:cs="Helvetica"/>
          <w:sz w:val="20"/>
          <w:szCs w:val="22"/>
        </w:rPr>
        <w:t>HVR-H3, apimančią aminorūgščių seką SEQ ID Nr. 117;</w:t>
      </w:r>
    </w:p>
    <w:p w14:paraId="1E6F2BA6" w14:textId="0804536D" w:rsidR="003B4D54" w:rsidRPr="00F971A2" w:rsidRDefault="0087491E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(d) </w:t>
      </w:r>
      <w:r w:rsidR="00DB27C3" w:rsidRPr="00F971A2">
        <w:rPr>
          <w:rFonts w:ascii="Helvetica" w:hAnsi="Helvetica" w:cs="Helvetica"/>
          <w:sz w:val="20"/>
          <w:szCs w:val="22"/>
        </w:rPr>
        <w:t>HVR-L1, apimančią aminorūgščių seką SEQ ID Nr. 118;</w:t>
      </w:r>
    </w:p>
    <w:p w14:paraId="1BE10F58" w14:textId="46576675" w:rsidR="003B4D54" w:rsidRPr="00F971A2" w:rsidRDefault="0087491E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(e) </w:t>
      </w:r>
      <w:r w:rsidR="00DB27C3" w:rsidRPr="00F971A2">
        <w:rPr>
          <w:rFonts w:ascii="Helvetica" w:hAnsi="Helvetica" w:cs="Helvetica"/>
          <w:sz w:val="20"/>
          <w:szCs w:val="22"/>
        </w:rPr>
        <w:t>HVR-L2, apimančią aminorūgščių seką SEQ ID Nr. 119; ir</w:t>
      </w:r>
    </w:p>
    <w:p w14:paraId="09861380" w14:textId="65F6D5C0" w:rsidR="003B4D54" w:rsidRPr="00F971A2" w:rsidRDefault="0087491E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(f) </w:t>
      </w:r>
      <w:r w:rsidR="00DB27C3" w:rsidRPr="00F971A2">
        <w:rPr>
          <w:rFonts w:ascii="Helvetica" w:hAnsi="Helvetica" w:cs="Helvetica"/>
          <w:sz w:val="20"/>
          <w:szCs w:val="22"/>
        </w:rPr>
        <w:t>HVR-L3, apimančią aminorūgščių seką SEQ ID Nr. 120; arba</w:t>
      </w:r>
    </w:p>
    <w:p w14:paraId="56A69767" w14:textId="77777777" w:rsidR="003B4D54" w:rsidRPr="00F971A2" w:rsidRDefault="00DB27C3" w:rsidP="00F971A2">
      <w:pPr>
        <w:widowControl/>
        <w:spacing w:line="360" w:lineRule="auto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>kur antrasis surišimo domenas apima šias šešias HVR:</w:t>
      </w:r>
    </w:p>
    <w:p w14:paraId="57553FD2" w14:textId="475D18F2" w:rsidR="003B4D54" w:rsidRPr="00F971A2" w:rsidRDefault="0087491E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(a) </w:t>
      </w:r>
      <w:r w:rsidR="00DB27C3" w:rsidRPr="00F971A2">
        <w:rPr>
          <w:rFonts w:ascii="Helvetica" w:hAnsi="Helvetica" w:cs="Helvetica"/>
          <w:sz w:val="20"/>
          <w:szCs w:val="22"/>
        </w:rPr>
        <w:t>HVR-H1, apimančią aminorūgščių seką SEQ ID Nr. 115;</w:t>
      </w:r>
    </w:p>
    <w:p w14:paraId="0FC6504D" w14:textId="2B40FB9D" w:rsidR="003B4D54" w:rsidRPr="00F971A2" w:rsidRDefault="0087491E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(b) </w:t>
      </w:r>
      <w:r w:rsidR="00DB27C3" w:rsidRPr="00F971A2">
        <w:rPr>
          <w:rFonts w:ascii="Helvetica" w:hAnsi="Helvetica" w:cs="Helvetica"/>
          <w:sz w:val="20"/>
          <w:szCs w:val="22"/>
        </w:rPr>
        <w:t>HVR-H2, apimančią aminorūgščių seką SEQ ID Nr. 116;</w:t>
      </w:r>
    </w:p>
    <w:p w14:paraId="0B84DB00" w14:textId="715049A7" w:rsidR="003B4D54" w:rsidRPr="00F971A2" w:rsidRDefault="0087491E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>(</w:t>
      </w:r>
      <w:r w:rsidRPr="00F971A2">
        <w:rPr>
          <w:rFonts w:ascii="Helvetica" w:hAnsi="Helvetica" w:cs="Helvetica"/>
          <w:sz w:val="20"/>
          <w:szCs w:val="22"/>
        </w:rPr>
        <w:t>c</w:t>
      </w:r>
      <w:r w:rsidRPr="00F971A2">
        <w:rPr>
          <w:rFonts w:ascii="Helvetica" w:hAnsi="Helvetica" w:cs="Helvetica"/>
          <w:sz w:val="20"/>
          <w:szCs w:val="22"/>
        </w:rPr>
        <w:t xml:space="preserve">) </w:t>
      </w:r>
      <w:r w:rsidR="00DB27C3" w:rsidRPr="00F971A2">
        <w:rPr>
          <w:rFonts w:ascii="Helvetica" w:hAnsi="Helvetica" w:cs="Helvetica"/>
          <w:sz w:val="20"/>
          <w:szCs w:val="22"/>
        </w:rPr>
        <w:t>HVR-H3, apimančią aminorūgščių seką SEQ ID Nr. 121;</w:t>
      </w:r>
    </w:p>
    <w:p w14:paraId="56B1DAFA" w14:textId="382AFCD6" w:rsidR="003B4D54" w:rsidRPr="00F971A2" w:rsidRDefault="0067623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(d) </w:t>
      </w:r>
      <w:r w:rsidR="00DB27C3" w:rsidRPr="00F971A2">
        <w:rPr>
          <w:rFonts w:ascii="Helvetica" w:hAnsi="Helvetica" w:cs="Helvetica"/>
          <w:sz w:val="20"/>
          <w:szCs w:val="22"/>
        </w:rPr>
        <w:t>HVR-L1, apimančią aminorūgščių seką SEQ ID Nr. 118;</w:t>
      </w:r>
    </w:p>
    <w:p w14:paraId="78AD0409" w14:textId="72D3BF29" w:rsidR="003B4D54" w:rsidRPr="00F971A2" w:rsidRDefault="0067623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(e) </w:t>
      </w:r>
      <w:r w:rsidR="00DB27C3" w:rsidRPr="00F971A2">
        <w:rPr>
          <w:rFonts w:ascii="Helvetica" w:hAnsi="Helvetica" w:cs="Helvetica"/>
          <w:sz w:val="20"/>
          <w:szCs w:val="22"/>
        </w:rPr>
        <w:t>HVR-L2, apimančią aminorūgščių seką SEQ ID Nr. 119; ir</w:t>
      </w:r>
    </w:p>
    <w:p w14:paraId="04A005D3" w14:textId="279A857D" w:rsidR="003B4D54" w:rsidRPr="00F971A2" w:rsidRDefault="0067623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(f) </w:t>
      </w:r>
      <w:r w:rsidR="00DB27C3" w:rsidRPr="00F971A2">
        <w:rPr>
          <w:rFonts w:ascii="Helvetica" w:hAnsi="Helvetica" w:cs="Helvetica"/>
          <w:sz w:val="20"/>
          <w:szCs w:val="22"/>
        </w:rPr>
        <w:t>HVR-L3, apimančią aminorūgščių seką SEQ ID Nr. 123.</w:t>
      </w:r>
    </w:p>
    <w:p w14:paraId="211DB1BB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11167EDC" w14:textId="4A653AF6" w:rsidR="003B4D54" w:rsidRPr="00F971A2" w:rsidRDefault="00676231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14.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A8334B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>antikūno fragmentas pagal 12 punktą, kur antrasis surišimo domenas apima:</w:t>
      </w:r>
    </w:p>
    <w:p w14:paraId="49260ED7" w14:textId="662EBE2C" w:rsidR="003B4D54" w:rsidRPr="00F971A2" w:rsidRDefault="0067623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(a) </w:t>
      </w:r>
      <w:r w:rsidR="00DB27C3" w:rsidRPr="00F971A2">
        <w:rPr>
          <w:rFonts w:ascii="Helvetica" w:hAnsi="Helvetica" w:cs="Helvetica"/>
          <w:sz w:val="20"/>
          <w:szCs w:val="22"/>
        </w:rPr>
        <w:t>VH domeną, apimantį aminorūgščių seką SEQ ID Nr. 133, ir</w:t>
      </w:r>
    </w:p>
    <w:p w14:paraId="23B4E771" w14:textId="102DD9B7" w:rsidR="003B4D54" w:rsidRPr="00F971A2" w:rsidRDefault="0067623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(b) </w:t>
      </w:r>
      <w:r w:rsidR="00DB27C3" w:rsidRPr="00F971A2">
        <w:rPr>
          <w:rFonts w:ascii="Helvetica" w:hAnsi="Helvetica" w:cs="Helvetica"/>
          <w:sz w:val="20"/>
          <w:szCs w:val="22"/>
        </w:rPr>
        <w:t>VL domeną, apimantį aminorūgščių seką SEQ ID Nr. 134.</w:t>
      </w:r>
    </w:p>
    <w:p w14:paraId="0282777B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4F707894" w14:textId="23BACA49" w:rsidR="003B4D54" w:rsidRPr="00F971A2" w:rsidRDefault="00676231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15.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34027B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>antikūno fragmentas pagal 12 punktą, kur antrasis surišimo domenas apima:</w:t>
      </w:r>
    </w:p>
    <w:p w14:paraId="1CADADE0" w14:textId="55F5478B" w:rsidR="003B4D54" w:rsidRPr="00F971A2" w:rsidRDefault="00F34498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>(a</w:t>
      </w:r>
      <w:r w:rsidR="00676231" w:rsidRPr="00F971A2">
        <w:rPr>
          <w:rFonts w:ascii="Helvetica" w:hAnsi="Helvetica" w:cs="Helvetica"/>
          <w:sz w:val="20"/>
          <w:szCs w:val="22"/>
        </w:rPr>
        <w:t xml:space="preserve">) </w:t>
      </w:r>
      <w:r w:rsidR="00DB27C3" w:rsidRPr="00F971A2">
        <w:rPr>
          <w:rFonts w:ascii="Helvetica" w:hAnsi="Helvetica" w:cs="Helvetica"/>
          <w:sz w:val="20"/>
          <w:szCs w:val="22"/>
        </w:rPr>
        <w:t>VH domeną, apimantį aminorūgščių seką SEQ ID Nr. 137, ir</w:t>
      </w:r>
    </w:p>
    <w:p w14:paraId="2BF8A58A" w14:textId="227909A8" w:rsidR="003B4D54" w:rsidRPr="00F971A2" w:rsidRDefault="00F34498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(b) </w:t>
      </w:r>
      <w:r w:rsidR="00DB27C3" w:rsidRPr="00F971A2">
        <w:rPr>
          <w:rFonts w:ascii="Helvetica" w:hAnsi="Helvetica" w:cs="Helvetica"/>
          <w:sz w:val="20"/>
          <w:szCs w:val="22"/>
        </w:rPr>
        <w:t>VL domeną, apimantį aminorūgščių seką SEQ ID Nr. 138.</w:t>
      </w:r>
    </w:p>
    <w:p w14:paraId="26966CA2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1E78738D" w14:textId="76D8CC78" w:rsidR="003B4D54" w:rsidRPr="00F971A2" w:rsidRDefault="00F34498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16.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34027B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>antikūno fragmentas pagal 12 punktą, kur antrasis surišimo domenas apima:</w:t>
      </w:r>
    </w:p>
    <w:p w14:paraId="2656C62E" w14:textId="2DD8CD17" w:rsidR="003B4D54" w:rsidRPr="00F971A2" w:rsidRDefault="00F34498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(a) </w:t>
      </w:r>
      <w:r w:rsidR="00DB27C3" w:rsidRPr="00F971A2">
        <w:rPr>
          <w:rFonts w:ascii="Helvetica" w:hAnsi="Helvetica" w:cs="Helvetica"/>
          <w:sz w:val="20"/>
          <w:szCs w:val="22"/>
        </w:rPr>
        <w:t>VH domeną, apimantį aminorūgščių seką SEQ ID Nr. 153, ir</w:t>
      </w:r>
    </w:p>
    <w:p w14:paraId="3F146578" w14:textId="3374C05F" w:rsidR="003B4D54" w:rsidRPr="00F971A2" w:rsidRDefault="00F34498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(b) </w:t>
      </w:r>
      <w:r w:rsidR="00DB27C3" w:rsidRPr="00F971A2">
        <w:rPr>
          <w:rFonts w:ascii="Helvetica" w:hAnsi="Helvetica" w:cs="Helvetica"/>
          <w:sz w:val="20"/>
          <w:szCs w:val="22"/>
        </w:rPr>
        <w:t>VL domeną, apimantį aminorūgščių seką SEQ ID Nr. 154.</w:t>
      </w:r>
    </w:p>
    <w:p w14:paraId="64FEE937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7B5A8CC9" w14:textId="6427A0E4" w:rsidR="003B4D54" w:rsidRPr="00F971A2" w:rsidRDefault="00F34498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17.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34027B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>antikūno fragmentas pagal 12 punktą, kur antrasis surišimo domenas apima:</w:t>
      </w:r>
    </w:p>
    <w:p w14:paraId="042FF51A" w14:textId="2075C992" w:rsidR="003B4D54" w:rsidRPr="00F971A2" w:rsidRDefault="00F34498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(a) </w:t>
      </w:r>
      <w:r w:rsidR="00DB27C3" w:rsidRPr="00F971A2">
        <w:rPr>
          <w:rFonts w:ascii="Helvetica" w:hAnsi="Helvetica" w:cs="Helvetica"/>
          <w:sz w:val="20"/>
          <w:szCs w:val="22"/>
        </w:rPr>
        <w:t>VH domeną, apimantį aminorūgščių seką SEQ ID Nr. 172, ir</w:t>
      </w:r>
    </w:p>
    <w:p w14:paraId="61EE3450" w14:textId="2B1EA9D3" w:rsidR="003B4D54" w:rsidRPr="00F971A2" w:rsidRDefault="00F34498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(b) </w:t>
      </w:r>
      <w:r w:rsidR="00DB27C3" w:rsidRPr="00F971A2">
        <w:rPr>
          <w:rFonts w:ascii="Helvetica" w:hAnsi="Helvetica" w:cs="Helvetica"/>
          <w:sz w:val="20"/>
          <w:szCs w:val="22"/>
        </w:rPr>
        <w:t>VL domeną, apimantį aminorūgščių seką SEQ ID Nr. 173.</w:t>
      </w:r>
    </w:p>
    <w:p w14:paraId="6DC1D866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308C1445" w14:textId="7F1D1CD0" w:rsidR="003B4D54" w:rsidRPr="00F971A2" w:rsidRDefault="0014151B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18.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34027B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>antikūno fragmentas pagal bet kurį iš 1–9 ir 11–17 punktų, kur FcRH5 surišantis antikūno fragmentas yra parinktas iš grupės, kurią sudaro bis-</w:t>
      </w:r>
      <w:proofErr w:type="spellStart"/>
      <w:r w:rsidR="00DB27C3" w:rsidRPr="00F971A2">
        <w:rPr>
          <w:rFonts w:ascii="Helvetica" w:hAnsi="Helvetica" w:cs="Helvetica"/>
          <w:sz w:val="20"/>
          <w:szCs w:val="22"/>
        </w:rPr>
        <w:t>Fab</w:t>
      </w:r>
      <w:proofErr w:type="spellEnd"/>
      <w:r w:rsidR="00DB27C3" w:rsidRPr="00F971A2">
        <w:rPr>
          <w:rFonts w:ascii="Helvetica" w:hAnsi="Helvetica" w:cs="Helvetica"/>
          <w:sz w:val="20"/>
          <w:szCs w:val="22"/>
        </w:rPr>
        <w:t xml:space="preserve">, </w:t>
      </w:r>
      <w:proofErr w:type="spellStart"/>
      <w:r w:rsidR="00DB27C3" w:rsidRPr="00F971A2">
        <w:rPr>
          <w:rFonts w:ascii="Helvetica" w:hAnsi="Helvetica" w:cs="Helvetica"/>
          <w:sz w:val="20"/>
          <w:szCs w:val="22"/>
        </w:rPr>
        <w:t>Fab</w:t>
      </w:r>
      <w:proofErr w:type="spellEnd"/>
      <w:r w:rsidR="00DB27C3" w:rsidRPr="00F971A2">
        <w:rPr>
          <w:rFonts w:ascii="Helvetica" w:hAnsi="Helvetica" w:cs="Helvetica"/>
          <w:sz w:val="20"/>
          <w:szCs w:val="22"/>
        </w:rPr>
        <w:t xml:space="preserve">, </w:t>
      </w:r>
      <w:proofErr w:type="spellStart"/>
      <w:r w:rsidR="00DB27C3" w:rsidRPr="00F971A2">
        <w:rPr>
          <w:rFonts w:ascii="Helvetica" w:hAnsi="Helvetica" w:cs="Helvetica"/>
          <w:sz w:val="20"/>
          <w:szCs w:val="22"/>
        </w:rPr>
        <w:t>Fab</w:t>
      </w:r>
      <w:proofErr w:type="spellEnd"/>
      <w:r w:rsidR="00DB27C3" w:rsidRPr="00F971A2">
        <w:rPr>
          <w:rFonts w:ascii="Helvetica" w:hAnsi="Helvetica" w:cs="Helvetica"/>
          <w:sz w:val="20"/>
          <w:szCs w:val="22"/>
        </w:rPr>
        <w:t xml:space="preserve">'-SH, </w:t>
      </w:r>
      <w:proofErr w:type="spellStart"/>
      <w:r w:rsidR="00DB27C3" w:rsidRPr="00F971A2">
        <w:rPr>
          <w:rFonts w:ascii="Helvetica" w:hAnsi="Helvetica" w:cs="Helvetica"/>
          <w:sz w:val="20"/>
          <w:szCs w:val="22"/>
        </w:rPr>
        <w:t>Fv</w:t>
      </w:r>
      <w:proofErr w:type="spellEnd"/>
      <w:r w:rsidR="00DB27C3" w:rsidRPr="00F971A2">
        <w:rPr>
          <w:rFonts w:ascii="Helvetica" w:hAnsi="Helvetica" w:cs="Helvetica"/>
          <w:sz w:val="20"/>
          <w:szCs w:val="22"/>
        </w:rPr>
        <w:t xml:space="preserve">, </w:t>
      </w:r>
      <w:proofErr w:type="spellStart"/>
      <w:r w:rsidR="00DB27C3" w:rsidRPr="00F971A2">
        <w:rPr>
          <w:rFonts w:ascii="Helvetica" w:hAnsi="Helvetica" w:cs="Helvetica"/>
          <w:sz w:val="20"/>
          <w:szCs w:val="22"/>
        </w:rPr>
        <w:t>scFv</w:t>
      </w:r>
      <w:proofErr w:type="spellEnd"/>
      <w:r w:rsidR="00DB27C3" w:rsidRPr="00F971A2">
        <w:rPr>
          <w:rFonts w:ascii="Helvetica" w:hAnsi="Helvetica" w:cs="Helvetica"/>
          <w:sz w:val="20"/>
          <w:szCs w:val="22"/>
        </w:rPr>
        <w:t xml:space="preserve"> ir (</w:t>
      </w:r>
      <w:proofErr w:type="spellStart"/>
      <w:r w:rsidR="00DB27C3" w:rsidRPr="00F971A2">
        <w:rPr>
          <w:rFonts w:ascii="Helvetica" w:hAnsi="Helvetica" w:cs="Helvetica"/>
          <w:sz w:val="20"/>
          <w:szCs w:val="22"/>
        </w:rPr>
        <w:t>Fab</w:t>
      </w:r>
      <w:proofErr w:type="spellEnd"/>
      <w:r w:rsidR="00DB27C3" w:rsidRPr="00F971A2">
        <w:rPr>
          <w:rFonts w:ascii="Helvetica" w:hAnsi="Helvetica" w:cs="Helvetica"/>
          <w:sz w:val="20"/>
          <w:szCs w:val="22"/>
        </w:rPr>
        <w:t>')</w:t>
      </w:r>
      <w:r w:rsidR="00DB27C3" w:rsidRPr="00F971A2">
        <w:rPr>
          <w:rFonts w:ascii="Helvetica" w:hAnsi="Helvetica" w:cs="Helvetica"/>
          <w:sz w:val="20"/>
          <w:szCs w:val="22"/>
          <w:vertAlign w:val="subscript"/>
        </w:rPr>
        <w:t>2</w:t>
      </w:r>
      <w:r w:rsidR="00DB27C3" w:rsidRPr="00F971A2">
        <w:rPr>
          <w:rFonts w:ascii="Helvetica" w:hAnsi="Helvetica" w:cs="Helvetica"/>
          <w:sz w:val="20"/>
          <w:szCs w:val="22"/>
        </w:rPr>
        <w:t xml:space="preserve"> fragmentai.</w:t>
      </w:r>
    </w:p>
    <w:p w14:paraId="18091C4C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580B9EFF" w14:textId="0B1DF559" w:rsidR="003B4D54" w:rsidRPr="00F971A2" w:rsidRDefault="0014151B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19.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CD1E5C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antikūno fragmentas pagal bet kurį iš 12–17 punktų, kur anti-FcRH5 antikūnas arba FcRH5 surišantis </w:t>
      </w:r>
      <w:r w:rsidR="00CD1E5C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>antikūno fragmentas apima vieną arba daugiau sunkiosios grandinės pastoviųjų domenų</w:t>
      </w:r>
      <w:r w:rsidR="00CD1E5C" w:rsidRPr="00F971A2">
        <w:rPr>
          <w:rFonts w:ascii="Helvetica" w:hAnsi="Helvetica" w:cs="Helvetica"/>
          <w:sz w:val="20"/>
          <w:szCs w:val="22"/>
        </w:rPr>
        <w:t>,</w:t>
      </w:r>
      <w:r w:rsidR="00DB27C3" w:rsidRPr="00F971A2">
        <w:rPr>
          <w:rFonts w:ascii="Helvetica" w:hAnsi="Helvetica" w:cs="Helvetica"/>
          <w:sz w:val="20"/>
          <w:szCs w:val="22"/>
        </w:rPr>
        <w:t xml:space="preserve"> ir kur vienas arba daugiau sunkiosios grandinės pastoviųjų domenų yra parinkti iš pirmojo CH2 domeno (CH2</w:t>
      </w:r>
      <w:r w:rsidR="00DB27C3" w:rsidRPr="00F971A2">
        <w:rPr>
          <w:rFonts w:ascii="Helvetica" w:hAnsi="Helvetica" w:cs="Helvetica"/>
          <w:i/>
          <w:sz w:val="20"/>
          <w:szCs w:val="22"/>
          <w:vertAlign w:val="subscript"/>
        </w:rPr>
        <w:t>1</w:t>
      </w:r>
      <w:r w:rsidR="00DB27C3" w:rsidRPr="00F971A2">
        <w:rPr>
          <w:rFonts w:ascii="Helvetica" w:hAnsi="Helvetica" w:cs="Helvetica"/>
          <w:sz w:val="20"/>
          <w:szCs w:val="22"/>
        </w:rPr>
        <w:t>), pirmojo CH3 domeno (CH3</w:t>
      </w:r>
      <w:r w:rsidR="00DB27C3" w:rsidRPr="00F971A2">
        <w:rPr>
          <w:rFonts w:ascii="Helvetica" w:hAnsi="Helvetica" w:cs="Helvetica"/>
          <w:i/>
          <w:sz w:val="20"/>
          <w:szCs w:val="22"/>
          <w:vertAlign w:val="subscript"/>
        </w:rPr>
        <w:t>1</w:t>
      </w:r>
      <w:r w:rsidR="00DB27C3" w:rsidRPr="00F971A2">
        <w:rPr>
          <w:rFonts w:ascii="Helvetica" w:hAnsi="Helvetica" w:cs="Helvetica"/>
          <w:sz w:val="20"/>
          <w:szCs w:val="22"/>
        </w:rPr>
        <w:t>), antrojo CH2 domeno (CH2</w:t>
      </w:r>
      <w:r w:rsidR="00DB27C3" w:rsidRPr="00F971A2">
        <w:rPr>
          <w:rFonts w:ascii="Helvetica" w:hAnsi="Helvetica" w:cs="Helvetica"/>
          <w:i/>
          <w:sz w:val="20"/>
          <w:szCs w:val="22"/>
          <w:vertAlign w:val="subscript"/>
        </w:rPr>
        <w:t>2</w:t>
      </w:r>
      <w:r w:rsidR="00DB27C3" w:rsidRPr="00F971A2">
        <w:rPr>
          <w:rFonts w:ascii="Helvetica" w:hAnsi="Helvetica" w:cs="Helvetica"/>
          <w:sz w:val="20"/>
          <w:szCs w:val="22"/>
        </w:rPr>
        <w:t>) ir antrojo CH3 domeno (CH3</w:t>
      </w:r>
      <w:r w:rsidR="00DB27C3" w:rsidRPr="00F971A2">
        <w:rPr>
          <w:rFonts w:ascii="Helvetica" w:hAnsi="Helvetica" w:cs="Helvetica"/>
          <w:i/>
          <w:sz w:val="20"/>
          <w:szCs w:val="22"/>
          <w:vertAlign w:val="subscript"/>
        </w:rPr>
        <w:t>2</w:t>
      </w:r>
      <w:r w:rsidR="00DB27C3" w:rsidRPr="00F971A2">
        <w:rPr>
          <w:rFonts w:ascii="Helvetica" w:hAnsi="Helvetica" w:cs="Helvetica"/>
          <w:sz w:val="20"/>
          <w:szCs w:val="22"/>
        </w:rPr>
        <w:t>).</w:t>
      </w:r>
    </w:p>
    <w:p w14:paraId="03BCCCC7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28D68C3A" w14:textId="7EF4FCC9" w:rsidR="003B4D54" w:rsidRPr="00F971A2" w:rsidRDefault="0014151B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20.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CD1E5C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antikūno fragmentas pagal 19 punktą, kur bent vienas iš vieno arba daugiau sunkiosios grandinės pastoviųjų domenų yra </w:t>
      </w:r>
      <w:r w:rsidR="00CD1E5C" w:rsidRPr="00F971A2">
        <w:rPr>
          <w:rFonts w:ascii="Helvetica" w:hAnsi="Helvetica" w:cs="Helvetica"/>
          <w:sz w:val="20"/>
          <w:szCs w:val="22"/>
        </w:rPr>
        <w:t xml:space="preserve">poroje </w:t>
      </w:r>
      <w:r w:rsidR="00DB27C3" w:rsidRPr="00F971A2">
        <w:rPr>
          <w:rFonts w:ascii="Helvetica" w:hAnsi="Helvetica" w:cs="Helvetica"/>
          <w:sz w:val="20"/>
          <w:szCs w:val="22"/>
        </w:rPr>
        <w:t>su kitu sunkiosios grandinės pastoviuoju domenu.</w:t>
      </w:r>
    </w:p>
    <w:p w14:paraId="51B3D766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09C85E70" w14:textId="1E80C180" w:rsidR="003B4D54" w:rsidRPr="00F971A2" w:rsidRDefault="0014151B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21.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CD1E5C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>antikūno fragmentas pagal 20 punktą, kur CH3</w:t>
      </w:r>
      <w:r w:rsidR="00DB27C3" w:rsidRPr="00F971A2">
        <w:rPr>
          <w:rFonts w:ascii="Helvetica" w:hAnsi="Helvetica" w:cs="Helvetica"/>
          <w:i/>
          <w:sz w:val="20"/>
          <w:szCs w:val="22"/>
          <w:vertAlign w:val="subscript"/>
        </w:rPr>
        <w:t>1</w:t>
      </w:r>
      <w:r w:rsidR="00DB27C3" w:rsidRPr="00F971A2">
        <w:rPr>
          <w:rFonts w:ascii="Helvetica" w:hAnsi="Helvetica" w:cs="Helvetica"/>
          <w:sz w:val="20"/>
          <w:szCs w:val="22"/>
        </w:rPr>
        <w:t xml:space="preserve"> ir CH3</w:t>
      </w:r>
      <w:r w:rsidR="00DB27C3" w:rsidRPr="00F971A2">
        <w:rPr>
          <w:rFonts w:ascii="Helvetica" w:hAnsi="Helvetica" w:cs="Helvetica"/>
          <w:i/>
          <w:sz w:val="20"/>
          <w:szCs w:val="22"/>
          <w:vertAlign w:val="subscript"/>
        </w:rPr>
        <w:t>2</w:t>
      </w:r>
      <w:r w:rsidR="00DB27C3" w:rsidRPr="00F971A2">
        <w:rPr>
          <w:rFonts w:ascii="Helvetica" w:hAnsi="Helvetica" w:cs="Helvetica"/>
          <w:sz w:val="20"/>
          <w:szCs w:val="22"/>
        </w:rPr>
        <w:t xml:space="preserve"> kiekvienas apima iškyšą (P</w:t>
      </w:r>
      <w:r w:rsidR="00DB27C3" w:rsidRPr="00F971A2">
        <w:rPr>
          <w:rFonts w:ascii="Helvetica" w:hAnsi="Helvetica" w:cs="Helvetica"/>
          <w:i/>
          <w:sz w:val="20"/>
          <w:szCs w:val="22"/>
          <w:vertAlign w:val="subscript"/>
        </w:rPr>
        <w:t>1</w:t>
      </w:r>
      <w:r w:rsidR="00DB27C3" w:rsidRPr="00F971A2">
        <w:rPr>
          <w:rFonts w:ascii="Helvetica" w:hAnsi="Helvetica" w:cs="Helvetica"/>
          <w:sz w:val="20"/>
          <w:szCs w:val="22"/>
        </w:rPr>
        <w:t>) arba ertmę (C</w:t>
      </w:r>
      <w:r w:rsidR="00DB27C3" w:rsidRPr="00F971A2">
        <w:rPr>
          <w:rFonts w:ascii="Helvetica" w:hAnsi="Helvetica" w:cs="Helvetica"/>
          <w:i/>
          <w:sz w:val="20"/>
          <w:szCs w:val="22"/>
          <w:vertAlign w:val="subscript"/>
        </w:rPr>
        <w:t>1</w:t>
      </w:r>
      <w:r w:rsidR="00DB27C3" w:rsidRPr="00F971A2">
        <w:rPr>
          <w:rFonts w:ascii="Helvetica" w:hAnsi="Helvetica" w:cs="Helvetica"/>
          <w:sz w:val="20"/>
          <w:szCs w:val="22"/>
        </w:rPr>
        <w:t>)</w:t>
      </w:r>
      <w:r w:rsidR="00CD1E5C" w:rsidRPr="00F971A2">
        <w:rPr>
          <w:rFonts w:ascii="Helvetica" w:hAnsi="Helvetica" w:cs="Helvetica"/>
          <w:sz w:val="20"/>
          <w:szCs w:val="22"/>
        </w:rPr>
        <w:t>,</w:t>
      </w:r>
      <w:r w:rsidR="00DB27C3" w:rsidRPr="00F971A2">
        <w:rPr>
          <w:rFonts w:ascii="Helvetica" w:hAnsi="Helvetica" w:cs="Helvetica"/>
          <w:sz w:val="20"/>
          <w:szCs w:val="22"/>
        </w:rPr>
        <w:t xml:space="preserve"> ir kur P</w:t>
      </w:r>
      <w:r w:rsidR="00DB27C3" w:rsidRPr="00F971A2">
        <w:rPr>
          <w:rFonts w:ascii="Helvetica" w:hAnsi="Helvetica" w:cs="Helvetica"/>
          <w:i/>
          <w:sz w:val="20"/>
          <w:szCs w:val="22"/>
          <w:vertAlign w:val="subscript"/>
        </w:rPr>
        <w:t>1</w:t>
      </w:r>
      <w:r w:rsidR="00DB27C3" w:rsidRPr="00F971A2">
        <w:rPr>
          <w:rFonts w:ascii="Helvetica" w:hAnsi="Helvetica" w:cs="Helvetica"/>
          <w:sz w:val="20"/>
          <w:szCs w:val="22"/>
        </w:rPr>
        <w:t xml:space="preserve"> arba C</w:t>
      </w:r>
      <w:r w:rsidR="00DB27C3" w:rsidRPr="00F971A2">
        <w:rPr>
          <w:rFonts w:ascii="Helvetica" w:hAnsi="Helvetica" w:cs="Helvetica"/>
          <w:i/>
          <w:sz w:val="20"/>
          <w:szCs w:val="22"/>
          <w:vertAlign w:val="subscript"/>
        </w:rPr>
        <w:t>1</w:t>
      </w:r>
      <w:r w:rsidR="00DB27C3" w:rsidRPr="00F971A2">
        <w:rPr>
          <w:rFonts w:ascii="Helvetica" w:hAnsi="Helvetica" w:cs="Helvetica"/>
          <w:sz w:val="20"/>
          <w:szCs w:val="22"/>
        </w:rPr>
        <w:t>, esanti CH3</w:t>
      </w:r>
      <w:r w:rsidR="00DB27C3" w:rsidRPr="00F971A2">
        <w:rPr>
          <w:rFonts w:ascii="Helvetica" w:hAnsi="Helvetica" w:cs="Helvetica"/>
          <w:i/>
          <w:sz w:val="20"/>
          <w:szCs w:val="22"/>
          <w:vertAlign w:val="subscript"/>
        </w:rPr>
        <w:t>1</w:t>
      </w:r>
      <w:r w:rsidR="00DB27C3" w:rsidRPr="00F971A2">
        <w:rPr>
          <w:rFonts w:ascii="Helvetica" w:hAnsi="Helvetica" w:cs="Helvetica"/>
          <w:sz w:val="20"/>
          <w:szCs w:val="22"/>
        </w:rPr>
        <w:t xml:space="preserve"> domene, gali būti atitinkamai suneriama su C</w:t>
      </w:r>
      <w:r w:rsidR="00DB27C3" w:rsidRPr="00F971A2">
        <w:rPr>
          <w:rFonts w:ascii="Helvetica" w:hAnsi="Helvetica" w:cs="Helvetica"/>
          <w:i/>
          <w:sz w:val="20"/>
          <w:szCs w:val="22"/>
          <w:vertAlign w:val="subscript"/>
        </w:rPr>
        <w:t>1</w:t>
      </w:r>
      <w:r w:rsidR="00DB27C3" w:rsidRPr="00F971A2">
        <w:rPr>
          <w:rFonts w:ascii="Helvetica" w:hAnsi="Helvetica" w:cs="Helvetica"/>
          <w:sz w:val="20"/>
          <w:szCs w:val="22"/>
        </w:rPr>
        <w:t xml:space="preserve"> arba P</w:t>
      </w:r>
      <w:r w:rsidR="00DB27C3" w:rsidRPr="00F971A2">
        <w:rPr>
          <w:rFonts w:ascii="Helvetica" w:hAnsi="Helvetica" w:cs="Helvetica"/>
          <w:i/>
          <w:sz w:val="20"/>
          <w:szCs w:val="22"/>
          <w:vertAlign w:val="subscript"/>
        </w:rPr>
        <w:t>1</w:t>
      </w:r>
      <w:r w:rsidR="00DB27C3" w:rsidRPr="00F971A2">
        <w:rPr>
          <w:rFonts w:ascii="Helvetica" w:hAnsi="Helvetica" w:cs="Helvetica"/>
          <w:sz w:val="20"/>
          <w:szCs w:val="22"/>
        </w:rPr>
        <w:t>, esančia CH3</w:t>
      </w:r>
      <w:r w:rsidR="00DB27C3" w:rsidRPr="00F971A2">
        <w:rPr>
          <w:rFonts w:ascii="Helvetica" w:hAnsi="Helvetica" w:cs="Helvetica"/>
          <w:i/>
          <w:sz w:val="20"/>
          <w:szCs w:val="22"/>
          <w:vertAlign w:val="subscript"/>
        </w:rPr>
        <w:t>2</w:t>
      </w:r>
      <w:r w:rsidR="00DB27C3" w:rsidRPr="00F971A2">
        <w:rPr>
          <w:rFonts w:ascii="Helvetica" w:hAnsi="Helvetica" w:cs="Helvetica"/>
          <w:sz w:val="20"/>
          <w:szCs w:val="22"/>
        </w:rPr>
        <w:t xml:space="preserve"> domene.</w:t>
      </w:r>
    </w:p>
    <w:p w14:paraId="76960988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14840470" w14:textId="3286D367" w:rsidR="003B4D54" w:rsidRPr="00F971A2" w:rsidRDefault="0014151B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22.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CD1E5C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>antikūno fragmentas pagal 21 punktą, kur CH3</w:t>
      </w:r>
      <w:r w:rsidR="00DB27C3" w:rsidRPr="00F971A2">
        <w:rPr>
          <w:rFonts w:ascii="Helvetica" w:hAnsi="Helvetica" w:cs="Helvetica"/>
          <w:i/>
          <w:sz w:val="20"/>
          <w:szCs w:val="22"/>
          <w:vertAlign w:val="subscript"/>
        </w:rPr>
        <w:t>1</w:t>
      </w:r>
      <w:r w:rsidR="00DB27C3" w:rsidRPr="00F971A2">
        <w:rPr>
          <w:rFonts w:ascii="Helvetica" w:hAnsi="Helvetica" w:cs="Helvetica"/>
          <w:sz w:val="20"/>
          <w:szCs w:val="22"/>
        </w:rPr>
        <w:t xml:space="preserve"> ir CH3</w:t>
      </w:r>
      <w:r w:rsidR="00DB27C3" w:rsidRPr="00F971A2">
        <w:rPr>
          <w:rFonts w:ascii="Helvetica" w:hAnsi="Helvetica" w:cs="Helvetica"/>
          <w:i/>
          <w:sz w:val="20"/>
          <w:szCs w:val="22"/>
          <w:vertAlign w:val="subscript"/>
        </w:rPr>
        <w:t>2</w:t>
      </w:r>
      <w:r w:rsidR="00DB27C3" w:rsidRPr="00F971A2">
        <w:rPr>
          <w:rFonts w:ascii="Helvetica" w:hAnsi="Helvetica" w:cs="Helvetica"/>
          <w:sz w:val="20"/>
          <w:szCs w:val="22"/>
        </w:rPr>
        <w:t xml:space="preserve"> susisiekia per sąsają tarp P</w:t>
      </w:r>
      <w:r w:rsidR="00DB27C3" w:rsidRPr="00F971A2">
        <w:rPr>
          <w:rFonts w:ascii="Helvetica" w:hAnsi="Helvetica" w:cs="Helvetica"/>
          <w:i/>
          <w:sz w:val="20"/>
          <w:szCs w:val="22"/>
          <w:vertAlign w:val="subscript"/>
        </w:rPr>
        <w:t>1</w:t>
      </w:r>
      <w:r w:rsidR="00DB27C3" w:rsidRPr="00F971A2">
        <w:rPr>
          <w:rFonts w:ascii="Helvetica" w:hAnsi="Helvetica" w:cs="Helvetica"/>
          <w:sz w:val="20"/>
          <w:szCs w:val="22"/>
        </w:rPr>
        <w:t xml:space="preserve"> ir C</w:t>
      </w:r>
      <w:r w:rsidR="00DB27C3" w:rsidRPr="00F971A2">
        <w:rPr>
          <w:rFonts w:ascii="Helvetica" w:hAnsi="Helvetica" w:cs="Helvetica"/>
          <w:i/>
          <w:sz w:val="20"/>
          <w:szCs w:val="22"/>
          <w:vertAlign w:val="subscript"/>
        </w:rPr>
        <w:t>1</w:t>
      </w:r>
      <w:r w:rsidR="00DB27C3" w:rsidRPr="00F971A2">
        <w:rPr>
          <w:rFonts w:ascii="Helvetica" w:hAnsi="Helvetica" w:cs="Helvetica"/>
          <w:sz w:val="20"/>
          <w:szCs w:val="22"/>
        </w:rPr>
        <w:t>.</w:t>
      </w:r>
    </w:p>
    <w:p w14:paraId="026CFCCD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6767036A" w14:textId="622DB36F" w:rsidR="003B4D54" w:rsidRPr="00F971A2" w:rsidRDefault="0014151B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23.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CD1E5C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>antikūno fragmentas pagal 21 arba 22 punktą, kur P</w:t>
      </w:r>
      <w:r w:rsidR="00DB27C3" w:rsidRPr="00F971A2">
        <w:rPr>
          <w:rFonts w:ascii="Helvetica" w:hAnsi="Helvetica" w:cs="Helvetica"/>
          <w:i/>
          <w:sz w:val="20"/>
          <w:szCs w:val="22"/>
          <w:vertAlign w:val="subscript"/>
        </w:rPr>
        <w:t>1</w:t>
      </w:r>
      <w:r w:rsidR="00DB27C3" w:rsidRPr="00F971A2">
        <w:rPr>
          <w:rFonts w:ascii="Helvetica" w:hAnsi="Helvetica" w:cs="Helvetica"/>
          <w:sz w:val="20"/>
          <w:szCs w:val="22"/>
          <w:vertAlign w:val="subscript"/>
        </w:rPr>
        <w:t xml:space="preserve"> </w:t>
      </w:r>
      <w:r w:rsidR="00DB27C3" w:rsidRPr="00F971A2">
        <w:rPr>
          <w:rFonts w:ascii="Helvetica" w:hAnsi="Helvetica" w:cs="Helvetica"/>
          <w:sz w:val="20"/>
          <w:szCs w:val="22"/>
        </w:rPr>
        <w:t>apima T366W pakaitos mutaciją pagal ES numeraciją.</w:t>
      </w:r>
    </w:p>
    <w:p w14:paraId="4E686C16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35734D82" w14:textId="2CC1439E" w:rsidR="003B4D54" w:rsidRPr="00F971A2" w:rsidRDefault="0014151B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24.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CD1E5C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>antikūno fragmentas pagal bet kurį iš 21–23 punktų, kur C</w:t>
      </w:r>
      <w:r w:rsidR="00DB27C3" w:rsidRPr="00F971A2">
        <w:rPr>
          <w:rFonts w:ascii="Helvetica" w:hAnsi="Helvetica" w:cs="Helvetica"/>
          <w:i/>
          <w:sz w:val="20"/>
          <w:szCs w:val="22"/>
          <w:vertAlign w:val="subscript"/>
        </w:rPr>
        <w:t>1</w:t>
      </w:r>
      <w:r w:rsidR="00DB27C3" w:rsidRPr="00F971A2">
        <w:rPr>
          <w:rFonts w:ascii="Helvetica" w:hAnsi="Helvetica" w:cs="Helvetica"/>
          <w:sz w:val="20"/>
          <w:szCs w:val="22"/>
        </w:rPr>
        <w:t xml:space="preserve"> apima T366S, L368A ir Y407V pakaitos mutacijas pagal ES numeraciją.</w:t>
      </w:r>
    </w:p>
    <w:p w14:paraId="147FB4AE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4DC3E8BA" w14:textId="57EDAA06" w:rsidR="003B4D54" w:rsidRPr="00F971A2" w:rsidRDefault="0014151B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25. </w:t>
      </w:r>
      <w:r w:rsidR="00DB27C3" w:rsidRPr="00F971A2">
        <w:rPr>
          <w:rFonts w:ascii="Helvetica" w:hAnsi="Helvetica" w:cs="Helvetica"/>
          <w:sz w:val="20"/>
          <w:szCs w:val="22"/>
        </w:rPr>
        <w:t>Viena arba daugiau izoliuotų nukleorūgščių, koduojančių anti-FcRH5 antikūną arba FcRH5 surišantį antikūno fragmentą pagal bet kurį iš 1–24 punktų.</w:t>
      </w:r>
    </w:p>
    <w:p w14:paraId="6576175C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4C06FB5F" w14:textId="3E18E51C" w:rsidR="003B4D54" w:rsidRPr="00F971A2" w:rsidRDefault="0014151B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26. </w:t>
      </w:r>
      <w:r w:rsidR="00DB27C3" w:rsidRPr="00F971A2">
        <w:rPr>
          <w:rFonts w:ascii="Helvetica" w:hAnsi="Helvetica" w:cs="Helvetica"/>
          <w:sz w:val="20"/>
          <w:szCs w:val="22"/>
        </w:rPr>
        <w:t>Vienas arba daugiau vektorių, apimančių vieną arba daugiau izoliuotų nukleorūgščių pagal 25 punktą.</w:t>
      </w:r>
    </w:p>
    <w:p w14:paraId="6A419228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1583F071" w14:textId="0D65D7FA" w:rsidR="003B4D54" w:rsidRPr="00F971A2" w:rsidRDefault="0014151B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lastRenderedPageBreak/>
        <w:t xml:space="preserve">27. </w:t>
      </w:r>
      <w:proofErr w:type="spellStart"/>
      <w:r w:rsidR="00DB27C3" w:rsidRPr="00F971A2">
        <w:rPr>
          <w:rFonts w:ascii="Helvetica" w:hAnsi="Helvetica" w:cs="Helvetica"/>
          <w:sz w:val="20"/>
          <w:szCs w:val="22"/>
        </w:rPr>
        <w:t>Imunokonjugatas</w:t>
      </w:r>
      <w:proofErr w:type="spellEnd"/>
      <w:r w:rsidR="00DB27C3" w:rsidRPr="00F971A2">
        <w:rPr>
          <w:rFonts w:ascii="Helvetica" w:hAnsi="Helvetica" w:cs="Helvetica"/>
          <w:sz w:val="20"/>
          <w:szCs w:val="22"/>
        </w:rPr>
        <w:t xml:space="preserve">, apimantis anti-FcRH5 antikūną arba FcRH5 surišantį </w:t>
      </w:r>
      <w:r w:rsidR="00CD1E5C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antikūno fragmentą pagal bet kurį iš 1–24 punktų ir </w:t>
      </w:r>
      <w:proofErr w:type="spellStart"/>
      <w:r w:rsidR="00DB27C3" w:rsidRPr="00F971A2">
        <w:rPr>
          <w:rFonts w:ascii="Helvetica" w:hAnsi="Helvetica" w:cs="Helvetica"/>
          <w:sz w:val="20"/>
          <w:szCs w:val="22"/>
        </w:rPr>
        <w:t>citotoksinę</w:t>
      </w:r>
      <w:proofErr w:type="spellEnd"/>
      <w:r w:rsidR="00DB27C3" w:rsidRPr="00F971A2">
        <w:rPr>
          <w:rFonts w:ascii="Helvetica" w:hAnsi="Helvetica" w:cs="Helvetica"/>
          <w:sz w:val="20"/>
          <w:szCs w:val="22"/>
        </w:rPr>
        <w:t xml:space="preserve"> medžiagą.</w:t>
      </w:r>
    </w:p>
    <w:p w14:paraId="0764E1D6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38AF8B98" w14:textId="6D1DAC10" w:rsidR="003B4D54" w:rsidRPr="00F971A2" w:rsidRDefault="0014151B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28.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Kompozicija, apimanti anti-FcRH5 antikūną arba FcRH5 surišantį </w:t>
      </w:r>
      <w:r w:rsidR="00CD1E5C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>antikūno fragmentą pagal bet kurį iš 1–24 punktų, papildomai apimanti farmaciniu požiūriu priimtiną pagalbinę medžiagą arba skiediklį.</w:t>
      </w:r>
    </w:p>
    <w:p w14:paraId="44590D80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0FE9D8AE" w14:textId="256A6515" w:rsidR="003B4D54" w:rsidRPr="00F971A2" w:rsidRDefault="0014151B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29. </w:t>
      </w:r>
      <w:r w:rsidR="00DB27C3" w:rsidRPr="00F971A2">
        <w:rPr>
          <w:rFonts w:ascii="Helvetica" w:hAnsi="Helvetica" w:cs="Helvetica"/>
          <w:sz w:val="20"/>
          <w:szCs w:val="22"/>
        </w:rPr>
        <w:t>Kompozicija pagal 28 punktą, kur kompozicija papildomai apima PD-1 ašį surišantį antagonistą arba papildomą terapinę medžiagą.</w:t>
      </w:r>
    </w:p>
    <w:p w14:paraId="55341876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07967660" w14:textId="1D6CE10E" w:rsidR="003B4D54" w:rsidRPr="00F971A2" w:rsidRDefault="00803A70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30. </w:t>
      </w:r>
      <w:r w:rsidR="00DB27C3" w:rsidRPr="00F971A2">
        <w:rPr>
          <w:rFonts w:ascii="Helvetica" w:hAnsi="Helvetica" w:cs="Helvetica"/>
          <w:sz w:val="20"/>
          <w:szCs w:val="22"/>
        </w:rPr>
        <w:t>Kompozicija pagal 29 punktą, kur PD-1 ašį surišantis antagonistas yra parinktas iš grupės, kurią sudaro PD-L1 surišantis antagonistas, PD-1 surišantis antagonistas ir PD-L2 surišantis antagonistas.</w:t>
      </w:r>
    </w:p>
    <w:p w14:paraId="444A0C2E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0FA67927" w14:textId="3CF13A04" w:rsidR="003B4D54" w:rsidRPr="00F971A2" w:rsidRDefault="00803A70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31. </w:t>
      </w:r>
      <w:r w:rsidR="00DB27C3" w:rsidRPr="00F971A2">
        <w:rPr>
          <w:rFonts w:ascii="Helvetica" w:hAnsi="Helvetica" w:cs="Helvetica"/>
          <w:sz w:val="20"/>
          <w:szCs w:val="22"/>
        </w:rPr>
        <w:t>Kompozicija pagal 30 punktą, kur PD-1 ašį surišantis antagonistas yra PD-L1 surišantis antagonistas, pasirinktinai, kur PD-L1 surišantis antagonistas yra parinktas iš grupės, kurią sudaro MPDL3280A (</w:t>
      </w:r>
      <w:proofErr w:type="spellStart"/>
      <w:r w:rsidR="00DB27C3" w:rsidRPr="00F971A2">
        <w:rPr>
          <w:rFonts w:ascii="Helvetica" w:hAnsi="Helvetica" w:cs="Helvetica"/>
          <w:sz w:val="20"/>
          <w:szCs w:val="22"/>
        </w:rPr>
        <w:t>atezolizumabas</w:t>
      </w:r>
      <w:proofErr w:type="spellEnd"/>
      <w:r w:rsidR="00DB27C3" w:rsidRPr="00F971A2">
        <w:rPr>
          <w:rFonts w:ascii="Helvetica" w:hAnsi="Helvetica" w:cs="Helvetica"/>
          <w:sz w:val="20"/>
          <w:szCs w:val="22"/>
        </w:rPr>
        <w:t>), MDX-1105, MEDI4736 (</w:t>
      </w:r>
      <w:proofErr w:type="spellStart"/>
      <w:r w:rsidR="00DB27C3" w:rsidRPr="00F971A2">
        <w:rPr>
          <w:rFonts w:ascii="Helvetica" w:hAnsi="Helvetica" w:cs="Helvetica"/>
          <w:sz w:val="20"/>
          <w:szCs w:val="22"/>
        </w:rPr>
        <w:t>durvalumabas</w:t>
      </w:r>
      <w:proofErr w:type="spellEnd"/>
      <w:r w:rsidR="00DB27C3" w:rsidRPr="00F971A2">
        <w:rPr>
          <w:rFonts w:ascii="Helvetica" w:hAnsi="Helvetica" w:cs="Helvetica"/>
          <w:sz w:val="20"/>
          <w:szCs w:val="22"/>
        </w:rPr>
        <w:t>) ir MSB0010718C (</w:t>
      </w:r>
      <w:proofErr w:type="spellStart"/>
      <w:r w:rsidR="00DB27C3" w:rsidRPr="00F971A2">
        <w:rPr>
          <w:rFonts w:ascii="Helvetica" w:hAnsi="Helvetica" w:cs="Helvetica"/>
          <w:sz w:val="20"/>
          <w:szCs w:val="22"/>
        </w:rPr>
        <w:t>avelumabas</w:t>
      </w:r>
      <w:proofErr w:type="spellEnd"/>
      <w:r w:rsidR="00DB27C3" w:rsidRPr="00F971A2">
        <w:rPr>
          <w:rFonts w:ascii="Helvetica" w:hAnsi="Helvetica" w:cs="Helvetica"/>
          <w:sz w:val="20"/>
          <w:szCs w:val="22"/>
        </w:rPr>
        <w:t>), pasirinktinai, kur PD-L1 surišantis antagonistas yra MPDL3280A (</w:t>
      </w:r>
      <w:proofErr w:type="spellStart"/>
      <w:r w:rsidR="00DB27C3" w:rsidRPr="00F971A2">
        <w:rPr>
          <w:rFonts w:ascii="Helvetica" w:hAnsi="Helvetica" w:cs="Helvetica"/>
          <w:sz w:val="20"/>
          <w:szCs w:val="22"/>
        </w:rPr>
        <w:t>atezolizumabas</w:t>
      </w:r>
      <w:proofErr w:type="spellEnd"/>
      <w:r w:rsidR="00DB27C3" w:rsidRPr="00F971A2">
        <w:rPr>
          <w:rFonts w:ascii="Helvetica" w:hAnsi="Helvetica" w:cs="Helvetica"/>
          <w:sz w:val="20"/>
          <w:szCs w:val="22"/>
        </w:rPr>
        <w:t>).</w:t>
      </w:r>
    </w:p>
    <w:p w14:paraId="1CCC2189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29CA68E6" w14:textId="04DDEE24" w:rsidR="003B4D54" w:rsidRPr="00F971A2" w:rsidRDefault="00803A70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32. </w:t>
      </w:r>
      <w:r w:rsidR="00DB27C3" w:rsidRPr="00F971A2">
        <w:rPr>
          <w:rFonts w:ascii="Helvetica" w:hAnsi="Helvetica" w:cs="Helvetica"/>
          <w:sz w:val="20"/>
          <w:szCs w:val="22"/>
        </w:rPr>
        <w:t>Kompozicija pagal 30 punktą, kur PD-1 ašį surišantis antagonistas yra PD-1 surišantis antagonistas, pasirinktinai, kur PD-1 surišantis antagonistas yra parinktas iš grupės, kurią sudaro MDX 1106 (</w:t>
      </w:r>
      <w:proofErr w:type="spellStart"/>
      <w:r w:rsidR="00DB27C3" w:rsidRPr="00F971A2">
        <w:rPr>
          <w:rFonts w:ascii="Helvetica" w:hAnsi="Helvetica" w:cs="Helvetica"/>
          <w:sz w:val="20"/>
          <w:szCs w:val="22"/>
        </w:rPr>
        <w:t>nivolumabas</w:t>
      </w:r>
      <w:proofErr w:type="spellEnd"/>
      <w:r w:rsidR="00DB27C3" w:rsidRPr="00F971A2">
        <w:rPr>
          <w:rFonts w:ascii="Helvetica" w:hAnsi="Helvetica" w:cs="Helvetica"/>
          <w:sz w:val="20"/>
          <w:szCs w:val="22"/>
        </w:rPr>
        <w:t>), MK-3475 (</w:t>
      </w:r>
      <w:proofErr w:type="spellStart"/>
      <w:r w:rsidR="00DB27C3" w:rsidRPr="00F971A2">
        <w:rPr>
          <w:rFonts w:ascii="Helvetica" w:hAnsi="Helvetica" w:cs="Helvetica"/>
          <w:sz w:val="20"/>
          <w:szCs w:val="22"/>
        </w:rPr>
        <w:t>pembrolizumabas</w:t>
      </w:r>
      <w:proofErr w:type="spellEnd"/>
      <w:r w:rsidR="00DB27C3" w:rsidRPr="00F971A2">
        <w:rPr>
          <w:rFonts w:ascii="Helvetica" w:hAnsi="Helvetica" w:cs="Helvetica"/>
          <w:sz w:val="20"/>
          <w:szCs w:val="22"/>
        </w:rPr>
        <w:t>), MEDI-0680 (AMP-514), PDR001 ir REGN2810.</w:t>
      </w:r>
    </w:p>
    <w:p w14:paraId="55AD0DA0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567C4695" w14:textId="36EEB4BC" w:rsidR="003B4D54" w:rsidRPr="00F971A2" w:rsidRDefault="00803A70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33.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Kompozicija pagal 30 punktą, kur PD-1 ašį surišantis antagonistas yra PD-L2 surišantis antagonistas, pasirinktinai, kur PD-L2 surišantis antagonistas yra antikūnas arba </w:t>
      </w:r>
      <w:proofErr w:type="spellStart"/>
      <w:r w:rsidR="00DB27C3" w:rsidRPr="00F971A2">
        <w:rPr>
          <w:rFonts w:ascii="Helvetica" w:hAnsi="Helvetica" w:cs="Helvetica"/>
          <w:sz w:val="20"/>
          <w:szCs w:val="22"/>
        </w:rPr>
        <w:t>imunoadhezinas</w:t>
      </w:r>
      <w:proofErr w:type="spellEnd"/>
      <w:r w:rsidR="00DB27C3" w:rsidRPr="00F971A2">
        <w:rPr>
          <w:rFonts w:ascii="Helvetica" w:hAnsi="Helvetica" w:cs="Helvetica"/>
          <w:sz w:val="20"/>
          <w:szCs w:val="22"/>
        </w:rPr>
        <w:t>.</w:t>
      </w:r>
    </w:p>
    <w:p w14:paraId="2AC6E11C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1169A4F3" w14:textId="019CAF51" w:rsidR="003B4D54" w:rsidRPr="00F971A2" w:rsidRDefault="00803A70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34.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704853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>antikūno fragmentas pagal bet kurį iš 1–24 punktų, skirtas naudoti gydant FcRH5 teigiamą vėžį arba lėtinant jo progresavimą pacientui, kuriam to reikia.</w:t>
      </w:r>
    </w:p>
    <w:p w14:paraId="3E256DF9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4D3B0070" w14:textId="2BB68196" w:rsidR="003B4D54" w:rsidRPr="00F971A2" w:rsidRDefault="00803A70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35.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704853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>antikūno fragmentas pagal bet kurį iš 1–24 punktų, skirtas naudoti FcRH5 teigiamu vėžiu sergančio paciento imuninei funkcijai stiprinti.</w:t>
      </w:r>
    </w:p>
    <w:p w14:paraId="2ECAC7E3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0F888C98" w14:textId="01EE44EF" w:rsidR="003B4D54" w:rsidRPr="00F971A2" w:rsidRDefault="00803A70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36.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704853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>antikūno fragmentas, skirtas naudoti pagal 34 arba 35 punktą, kur FcRH5 teigiamas vėžys yra B ląstelių vėžys.</w:t>
      </w:r>
    </w:p>
    <w:p w14:paraId="576312FA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32622932" w14:textId="51A4E6D8" w:rsidR="003B4D54" w:rsidRPr="00F971A2" w:rsidRDefault="00803A70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37.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704853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antikūno fragmentas, skirtas naudoti pagal bet kurį iš 34–36 punktų, kur pacientui skiriama anti-FcRH5 antikūno arba FcRH5 surišančio </w:t>
      </w:r>
      <w:r w:rsidR="00704853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antikūno fragmento dozė </w:t>
      </w:r>
      <w:r w:rsidR="00704853" w:rsidRPr="00F971A2">
        <w:rPr>
          <w:rFonts w:ascii="Helvetica" w:hAnsi="Helvetica" w:cs="Helvetica"/>
          <w:sz w:val="20"/>
          <w:szCs w:val="22"/>
        </w:rPr>
        <w:t xml:space="preserve">turi būti </w:t>
      </w:r>
      <w:r w:rsidR="00DB27C3" w:rsidRPr="00F971A2">
        <w:rPr>
          <w:rFonts w:ascii="Helvetica" w:hAnsi="Helvetica" w:cs="Helvetica"/>
          <w:sz w:val="20"/>
          <w:szCs w:val="22"/>
        </w:rPr>
        <w:t>nuo maždaug 0,01 mg/kg per savaitę iki maždaug 50 mg/kg per savaitę.</w:t>
      </w:r>
    </w:p>
    <w:p w14:paraId="2651752F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155C5B17" w14:textId="007340EB" w:rsidR="003B4D54" w:rsidRPr="00F971A2" w:rsidRDefault="00803A70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38.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704853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antikūno fragmentas, skirtas naudoti pagal bet kurį iš 34–37 punktų, kur anti-FcRH5 antikūnas arba FcRH5 surišantis </w:t>
      </w:r>
      <w:r w:rsidR="00704853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antikūno fragmentas pacientui </w:t>
      </w:r>
      <w:r w:rsidR="00704853" w:rsidRPr="00F971A2">
        <w:rPr>
          <w:rFonts w:ascii="Helvetica" w:hAnsi="Helvetica" w:cs="Helvetica"/>
          <w:sz w:val="20"/>
          <w:szCs w:val="22"/>
        </w:rPr>
        <w:t xml:space="preserve">turi būti </w:t>
      </w:r>
      <w:r w:rsidR="00DB27C3" w:rsidRPr="00F971A2">
        <w:rPr>
          <w:rFonts w:ascii="Helvetica" w:hAnsi="Helvetica" w:cs="Helvetica"/>
          <w:sz w:val="20"/>
          <w:szCs w:val="22"/>
        </w:rPr>
        <w:t>skiriamas su PD-1 ašį surišančiu antagonistu ir (arba) papildoma terapine medžiaga.</w:t>
      </w:r>
    </w:p>
    <w:p w14:paraId="68B19E06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2F7F9DF3" w14:textId="00D5F641" w:rsidR="003B4D54" w:rsidRPr="00F971A2" w:rsidRDefault="00803A70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39.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704853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antikūno fragmentas, skirtas naudoti pagal 38 punktą, kur PD-1 ašį surišantis antagonistas ir (arba) papildoma terapinė medžiaga </w:t>
      </w:r>
      <w:r w:rsidR="00704853" w:rsidRPr="00F971A2">
        <w:rPr>
          <w:rFonts w:ascii="Helvetica" w:hAnsi="Helvetica" w:cs="Helvetica"/>
          <w:sz w:val="20"/>
          <w:szCs w:val="22"/>
        </w:rPr>
        <w:t xml:space="preserve">turi būti </w:t>
      </w:r>
      <w:r w:rsidR="00DB27C3" w:rsidRPr="00F971A2">
        <w:rPr>
          <w:rFonts w:ascii="Helvetica" w:hAnsi="Helvetica" w:cs="Helvetica"/>
          <w:sz w:val="20"/>
          <w:szCs w:val="22"/>
        </w:rPr>
        <w:t xml:space="preserve">vartojami prieš vartojant anti-FcRH5 antikūną arba FcRH5 surišantį </w:t>
      </w:r>
      <w:r w:rsidR="00704853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>antikūno fragmentą, kartu su juo arba po jo.</w:t>
      </w:r>
    </w:p>
    <w:p w14:paraId="33FFF8F3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6DC630A0" w14:textId="5AC78427" w:rsidR="003B4D54" w:rsidRPr="00F971A2" w:rsidRDefault="00803A70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40.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704853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>antikūno fragmentas, skirtas naudoti pagal 38 arba 39 punktą, kur PD-1 ašį surišantis antagonistas yra parinktas iš grupės, kurią sudaro PD-L1 surišantis antagonistas, PD-1 surišantis antagonistas ir PD-L2 surišantis antagonistas.</w:t>
      </w:r>
    </w:p>
    <w:p w14:paraId="21FE49A0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43689007" w14:textId="5FA00EED" w:rsidR="003B4D54" w:rsidRPr="00F971A2" w:rsidRDefault="00803A70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41.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704853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>antikūno fragmentas, skirtas naudoti pagal 40 punktą, kur PD-1 ašį surišantis antagonistas yra PD-L1 surišantis antagonistas, pasirinktinai, kur PD-L1 surišantis antagonistas yra parinktas iš grupės, kurią sudaro MPDL3280A (</w:t>
      </w:r>
      <w:proofErr w:type="spellStart"/>
      <w:r w:rsidR="00DB27C3" w:rsidRPr="00F971A2">
        <w:rPr>
          <w:rFonts w:ascii="Helvetica" w:hAnsi="Helvetica" w:cs="Helvetica"/>
          <w:sz w:val="20"/>
          <w:szCs w:val="22"/>
        </w:rPr>
        <w:t>atezolizumabas</w:t>
      </w:r>
      <w:proofErr w:type="spellEnd"/>
      <w:r w:rsidR="00DB27C3" w:rsidRPr="00F971A2">
        <w:rPr>
          <w:rFonts w:ascii="Helvetica" w:hAnsi="Helvetica" w:cs="Helvetica"/>
          <w:sz w:val="20"/>
          <w:szCs w:val="22"/>
        </w:rPr>
        <w:t>), MDX-1105, MEDI4736 (</w:t>
      </w:r>
      <w:proofErr w:type="spellStart"/>
      <w:r w:rsidR="00DB27C3" w:rsidRPr="00F971A2">
        <w:rPr>
          <w:rFonts w:ascii="Helvetica" w:hAnsi="Helvetica" w:cs="Helvetica"/>
          <w:sz w:val="20"/>
          <w:szCs w:val="22"/>
        </w:rPr>
        <w:t>durvalumabas</w:t>
      </w:r>
      <w:proofErr w:type="spellEnd"/>
      <w:r w:rsidR="00DB27C3" w:rsidRPr="00F971A2">
        <w:rPr>
          <w:rFonts w:ascii="Helvetica" w:hAnsi="Helvetica" w:cs="Helvetica"/>
          <w:sz w:val="20"/>
          <w:szCs w:val="22"/>
        </w:rPr>
        <w:t>) ir MSB0010718C (</w:t>
      </w:r>
      <w:proofErr w:type="spellStart"/>
      <w:r w:rsidR="00DB27C3" w:rsidRPr="00F971A2">
        <w:rPr>
          <w:rFonts w:ascii="Helvetica" w:hAnsi="Helvetica" w:cs="Helvetica"/>
          <w:sz w:val="20"/>
          <w:szCs w:val="22"/>
        </w:rPr>
        <w:t>avelumabas</w:t>
      </w:r>
      <w:proofErr w:type="spellEnd"/>
      <w:r w:rsidR="00DB27C3" w:rsidRPr="00F971A2">
        <w:rPr>
          <w:rFonts w:ascii="Helvetica" w:hAnsi="Helvetica" w:cs="Helvetica"/>
          <w:sz w:val="20"/>
          <w:szCs w:val="22"/>
        </w:rPr>
        <w:t>), pasirinktinai, kur PD-L1 surišantis antagonistas yra MPDL3280A (</w:t>
      </w:r>
      <w:proofErr w:type="spellStart"/>
      <w:r w:rsidR="00DB27C3" w:rsidRPr="00F971A2">
        <w:rPr>
          <w:rFonts w:ascii="Helvetica" w:hAnsi="Helvetica" w:cs="Helvetica"/>
          <w:sz w:val="20"/>
          <w:szCs w:val="22"/>
        </w:rPr>
        <w:t>atezolizumabas</w:t>
      </w:r>
      <w:proofErr w:type="spellEnd"/>
      <w:r w:rsidR="00DB27C3" w:rsidRPr="00F971A2">
        <w:rPr>
          <w:rFonts w:ascii="Helvetica" w:hAnsi="Helvetica" w:cs="Helvetica"/>
          <w:sz w:val="20"/>
          <w:szCs w:val="22"/>
        </w:rPr>
        <w:t>).</w:t>
      </w:r>
    </w:p>
    <w:p w14:paraId="507CA3E8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0C0BDDED" w14:textId="1B21E181" w:rsidR="003B4D54" w:rsidRPr="00F971A2" w:rsidRDefault="00803A70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42.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704853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>antikūno fragmentas, skirtas naudoti pagal 40 punktą, kur PD-1 ašį surišantis antagonistas yra PD-1 surišantis antagonistas, pasirinktinai, kur PD-1 surišantis antagonistas yra parinktas iš grupės, kurią sudaro MDX 1106 (</w:t>
      </w:r>
      <w:proofErr w:type="spellStart"/>
      <w:r w:rsidR="00DB27C3" w:rsidRPr="00F971A2">
        <w:rPr>
          <w:rFonts w:ascii="Helvetica" w:hAnsi="Helvetica" w:cs="Helvetica"/>
          <w:sz w:val="20"/>
          <w:szCs w:val="22"/>
        </w:rPr>
        <w:t>nivolumabas</w:t>
      </w:r>
      <w:proofErr w:type="spellEnd"/>
      <w:r w:rsidR="00DB27C3" w:rsidRPr="00F971A2">
        <w:rPr>
          <w:rFonts w:ascii="Helvetica" w:hAnsi="Helvetica" w:cs="Helvetica"/>
          <w:sz w:val="20"/>
          <w:szCs w:val="22"/>
        </w:rPr>
        <w:t>), MK-3475 (</w:t>
      </w:r>
      <w:proofErr w:type="spellStart"/>
      <w:r w:rsidR="00DB27C3" w:rsidRPr="00F971A2">
        <w:rPr>
          <w:rFonts w:ascii="Helvetica" w:hAnsi="Helvetica" w:cs="Helvetica"/>
          <w:sz w:val="20"/>
          <w:szCs w:val="22"/>
        </w:rPr>
        <w:t>pembrolizumabas</w:t>
      </w:r>
      <w:proofErr w:type="spellEnd"/>
      <w:r w:rsidR="00DB27C3" w:rsidRPr="00F971A2">
        <w:rPr>
          <w:rFonts w:ascii="Helvetica" w:hAnsi="Helvetica" w:cs="Helvetica"/>
          <w:sz w:val="20"/>
          <w:szCs w:val="22"/>
        </w:rPr>
        <w:t>), MEDI-0680 (AMP-514), PDR001 ir REGN2810.</w:t>
      </w:r>
    </w:p>
    <w:p w14:paraId="5E2D6D24" w14:textId="77777777" w:rsidR="00F31621" w:rsidRPr="00F971A2" w:rsidRDefault="00F31621" w:rsidP="00F971A2">
      <w:pPr>
        <w:pStyle w:val="Sraopastraipa"/>
        <w:widowControl/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2"/>
        </w:rPr>
      </w:pPr>
    </w:p>
    <w:p w14:paraId="40DC9B75" w14:textId="1BB2BBD2" w:rsidR="003B4D54" w:rsidRPr="00F971A2" w:rsidRDefault="00803A70" w:rsidP="00F971A2">
      <w:pPr>
        <w:pStyle w:val="Sraopastraipa"/>
        <w:widowControl/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2"/>
        </w:rPr>
      </w:pPr>
      <w:r w:rsidRPr="00F971A2">
        <w:rPr>
          <w:rFonts w:ascii="Helvetica" w:hAnsi="Helvetica" w:cs="Helvetica"/>
          <w:sz w:val="20"/>
          <w:szCs w:val="22"/>
        </w:rPr>
        <w:t xml:space="preserve">43.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Anti-FcRH5 antikūnas arba FcRH5 surišantis </w:t>
      </w:r>
      <w:r w:rsidR="00704853" w:rsidRPr="00F971A2">
        <w:rPr>
          <w:rFonts w:ascii="Helvetica" w:hAnsi="Helvetica" w:cs="Helvetica"/>
          <w:sz w:val="20"/>
          <w:szCs w:val="22"/>
        </w:rPr>
        <w:t xml:space="preserve">šio </w:t>
      </w:r>
      <w:r w:rsidR="00DB27C3" w:rsidRPr="00F971A2">
        <w:rPr>
          <w:rFonts w:ascii="Helvetica" w:hAnsi="Helvetica" w:cs="Helvetica"/>
          <w:sz w:val="20"/>
          <w:szCs w:val="22"/>
        </w:rPr>
        <w:t xml:space="preserve">antikūno fragmentas, skirtas naudoti pagal 40 punktą, kur PD-1 ašį surišantis antagonistas yra PD-L2 surišantis antagonistas, pasirinktinai, kur PD-L2 surišantis antagonistas yra antikūnas arba </w:t>
      </w:r>
      <w:proofErr w:type="spellStart"/>
      <w:r w:rsidR="00DB27C3" w:rsidRPr="00F971A2">
        <w:rPr>
          <w:rFonts w:ascii="Helvetica" w:hAnsi="Helvetica" w:cs="Helvetica"/>
          <w:sz w:val="20"/>
          <w:szCs w:val="22"/>
        </w:rPr>
        <w:t>imunoadhezinas</w:t>
      </w:r>
      <w:proofErr w:type="spellEnd"/>
      <w:r w:rsidR="00DB27C3" w:rsidRPr="00F971A2">
        <w:rPr>
          <w:rFonts w:ascii="Helvetica" w:hAnsi="Helvetica" w:cs="Helvetica"/>
          <w:sz w:val="20"/>
          <w:szCs w:val="22"/>
        </w:rPr>
        <w:t>.</w:t>
      </w:r>
    </w:p>
    <w:sectPr w:rsidR="003B4D54" w:rsidRPr="00F971A2" w:rsidSect="00F971A2">
      <w:pgSz w:w="11907" w:h="16840" w:code="1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E399B" w14:textId="77777777" w:rsidR="00FE7B92" w:rsidRDefault="00FE7B92" w:rsidP="003B4D54">
      <w:r>
        <w:separator/>
      </w:r>
    </w:p>
  </w:endnote>
  <w:endnote w:type="continuationSeparator" w:id="0">
    <w:p w14:paraId="53D94A66" w14:textId="77777777" w:rsidR="00FE7B92" w:rsidRDefault="00FE7B92" w:rsidP="003B4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22D5B" w14:textId="77777777" w:rsidR="00FE7B92" w:rsidRDefault="00FE7B92" w:rsidP="003B4D54">
      <w:r>
        <w:separator/>
      </w:r>
    </w:p>
  </w:footnote>
  <w:footnote w:type="continuationSeparator" w:id="0">
    <w:p w14:paraId="647CECAA" w14:textId="77777777" w:rsidR="00FE7B92" w:rsidRDefault="00FE7B92" w:rsidP="003B4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D3AC5"/>
    <w:multiLevelType w:val="hybridMultilevel"/>
    <w:tmpl w:val="676C3118"/>
    <w:lvl w:ilvl="0" w:tplc="D5B074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B4097"/>
    <w:multiLevelType w:val="hybridMultilevel"/>
    <w:tmpl w:val="C312009E"/>
    <w:lvl w:ilvl="0" w:tplc="9E7687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769C5"/>
    <w:multiLevelType w:val="hybridMultilevel"/>
    <w:tmpl w:val="0748BC3E"/>
    <w:lvl w:ilvl="0" w:tplc="974E1FC4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2544AD7"/>
    <w:multiLevelType w:val="hybridMultilevel"/>
    <w:tmpl w:val="53F0A228"/>
    <w:lvl w:ilvl="0" w:tplc="8A820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96691"/>
    <w:multiLevelType w:val="hybridMultilevel"/>
    <w:tmpl w:val="DB784CAC"/>
    <w:lvl w:ilvl="0" w:tplc="C7082A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41EC8"/>
    <w:multiLevelType w:val="hybridMultilevel"/>
    <w:tmpl w:val="DB0CEF92"/>
    <w:lvl w:ilvl="0" w:tplc="B6C8AE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42F4E"/>
    <w:multiLevelType w:val="hybridMultilevel"/>
    <w:tmpl w:val="6A1AE34C"/>
    <w:lvl w:ilvl="0" w:tplc="3768F5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53B74"/>
    <w:multiLevelType w:val="hybridMultilevel"/>
    <w:tmpl w:val="540A8E56"/>
    <w:lvl w:ilvl="0" w:tplc="1A826E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032319">
    <w:abstractNumId w:val="4"/>
  </w:num>
  <w:num w:numId="2" w16cid:durableId="1293944467">
    <w:abstractNumId w:val="3"/>
  </w:num>
  <w:num w:numId="3" w16cid:durableId="1404834158">
    <w:abstractNumId w:val="7"/>
  </w:num>
  <w:num w:numId="4" w16cid:durableId="582878695">
    <w:abstractNumId w:val="2"/>
  </w:num>
  <w:num w:numId="5" w16cid:durableId="824854907">
    <w:abstractNumId w:val="0"/>
  </w:num>
  <w:num w:numId="6" w16cid:durableId="120345863">
    <w:abstractNumId w:val="5"/>
  </w:num>
  <w:num w:numId="7" w16cid:durableId="214127734">
    <w:abstractNumId w:val="1"/>
  </w:num>
  <w:num w:numId="8" w16cid:durableId="13261273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4B"/>
    <w:rsid w:val="000229B3"/>
    <w:rsid w:val="0008639D"/>
    <w:rsid w:val="0014151B"/>
    <w:rsid w:val="001877EC"/>
    <w:rsid w:val="002A7AD6"/>
    <w:rsid w:val="002D2CEE"/>
    <w:rsid w:val="003345A2"/>
    <w:rsid w:val="0034027B"/>
    <w:rsid w:val="00370649"/>
    <w:rsid w:val="003A27D6"/>
    <w:rsid w:val="003A3831"/>
    <w:rsid w:val="003A5FAF"/>
    <w:rsid w:val="003B4D54"/>
    <w:rsid w:val="00450620"/>
    <w:rsid w:val="005A7E9B"/>
    <w:rsid w:val="005D3F2E"/>
    <w:rsid w:val="00632582"/>
    <w:rsid w:val="00676231"/>
    <w:rsid w:val="0068268B"/>
    <w:rsid w:val="00704853"/>
    <w:rsid w:val="007173A3"/>
    <w:rsid w:val="00803A70"/>
    <w:rsid w:val="00823D4B"/>
    <w:rsid w:val="00830724"/>
    <w:rsid w:val="0087491E"/>
    <w:rsid w:val="008E46D7"/>
    <w:rsid w:val="0090118A"/>
    <w:rsid w:val="009A5F5C"/>
    <w:rsid w:val="00A8334B"/>
    <w:rsid w:val="00A9493D"/>
    <w:rsid w:val="00B53602"/>
    <w:rsid w:val="00C6420E"/>
    <w:rsid w:val="00CC49A7"/>
    <w:rsid w:val="00CD1E5C"/>
    <w:rsid w:val="00D34A47"/>
    <w:rsid w:val="00D367E0"/>
    <w:rsid w:val="00DB27C3"/>
    <w:rsid w:val="00E11D45"/>
    <w:rsid w:val="00E55AD7"/>
    <w:rsid w:val="00F20FB7"/>
    <w:rsid w:val="00F27B70"/>
    <w:rsid w:val="00F31621"/>
    <w:rsid w:val="00F34498"/>
    <w:rsid w:val="00F54A46"/>
    <w:rsid w:val="00F971A2"/>
    <w:rsid w:val="00FE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551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DB27C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en-US"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B27C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B4D54"/>
    <w:pPr>
      <w:tabs>
        <w:tab w:val="center" w:pos="4536"/>
        <w:tab w:val="right" w:pos="90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4D54"/>
    <w:rPr>
      <w:rFonts w:ascii="Arial Unicode MS" w:eastAsia="Arial Unicode MS" w:hAnsi="Arial Unicode MS" w:cs="Arial Unicode MS"/>
      <w:color w:val="000000"/>
      <w:sz w:val="24"/>
      <w:szCs w:val="24"/>
      <w:lang w:eastAsia="en-US" w:bidi="en-US"/>
    </w:rPr>
  </w:style>
  <w:style w:type="paragraph" w:styleId="Porat">
    <w:name w:val="footer"/>
    <w:basedOn w:val="prastasis"/>
    <w:link w:val="PoratDiagrama"/>
    <w:uiPriority w:val="99"/>
    <w:unhideWhenUsed/>
    <w:rsid w:val="003B4D54"/>
    <w:pPr>
      <w:tabs>
        <w:tab w:val="center" w:pos="4536"/>
        <w:tab w:val="right" w:pos="90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B4D54"/>
    <w:rPr>
      <w:rFonts w:ascii="Arial Unicode MS" w:eastAsia="Arial Unicode MS" w:hAnsi="Arial Unicode MS" w:cs="Arial Unicode MS"/>
      <w:color w:val="000000"/>
      <w:sz w:val="24"/>
      <w:szCs w:val="24"/>
      <w:lang w:eastAsia="en-US" w:bidi="en-US"/>
    </w:rPr>
  </w:style>
  <w:style w:type="paragraph" w:customStyle="1" w:styleId="Default">
    <w:name w:val="Default"/>
    <w:rsid w:val="00F54A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paragraph" w:styleId="Pataisymai">
    <w:name w:val="Revision"/>
    <w:hidden/>
    <w:uiPriority w:val="99"/>
    <w:semiHidden/>
    <w:rsid w:val="009011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1648</Words>
  <Characters>9851</Characters>
  <Application>Microsoft Office Word</Application>
  <DocSecurity>0</DocSecurity>
  <Lines>197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2023-09-15T15:25:00Z</dcterms:created>
  <dcterms:modified xsi:type="dcterms:W3CDTF">2023-09-25T07:59:00Z</dcterms:modified>
</cp:coreProperties>
</file>