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1F4D" w14:textId="0AE8E534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apimanti </w:t>
      </w:r>
      <w:r w:rsidR="00757906" w:rsidRPr="00CF38AA">
        <w:rPr>
          <w:rFonts w:ascii="Helvetica" w:hAnsi="Helvetica" w:cs="Helvetica"/>
          <w:sz w:val="20"/>
          <w:szCs w:val="24"/>
        </w:rPr>
        <w:t xml:space="preserve">veiksmingą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kiekį nanodalelių, apimančių sirolimuzą ir albuminą, skirta naudoti taikant asmens piktybinio perivaskulinių epitelioidinių ląstelių naviko (PEComa) gydymo būdą, </w:t>
      </w:r>
      <w:r w:rsidR="00757906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būdas apima nanodalelių kompozicijos intraveninį </w:t>
      </w:r>
      <w:r w:rsidR="00757906" w:rsidRPr="00CF38AA">
        <w:rPr>
          <w:rFonts w:ascii="Helvetica" w:hAnsi="Helvetica" w:cs="Helvetica"/>
          <w:sz w:val="20"/>
          <w:szCs w:val="24"/>
        </w:rPr>
        <w:t>įvedimą</w:t>
      </w:r>
      <w:r w:rsidR="008525D6" w:rsidRPr="00CF38AA">
        <w:rPr>
          <w:rFonts w:ascii="Helvetica" w:hAnsi="Helvetica" w:cs="Helvetica"/>
          <w:sz w:val="20"/>
          <w:szCs w:val="24"/>
        </w:rPr>
        <w:t>.</w:t>
      </w:r>
    </w:p>
    <w:p w14:paraId="6C5BF5DC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55F1A709" w14:textId="0BEBB3C3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2.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1 punktą, </w:t>
      </w:r>
      <w:r w:rsidR="00757906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asmuo yra žmogus.</w:t>
      </w:r>
    </w:p>
    <w:p w14:paraId="107274C2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08BB53DD" w14:textId="1EF3F7B4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3.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>Kompozicija, skirta naudoti pagal 1 ar</w:t>
      </w:r>
      <w:r w:rsidR="00260520" w:rsidRPr="00CF38AA">
        <w:rPr>
          <w:rFonts w:ascii="Helvetica" w:hAnsi="Helvetica" w:cs="Helvetica"/>
          <w:sz w:val="20"/>
          <w:szCs w:val="24"/>
        </w:rPr>
        <w:t>ba</w:t>
      </w:r>
      <w:r w:rsidR="008525D6" w:rsidRPr="00CF38AA">
        <w:rPr>
          <w:rFonts w:ascii="Helvetica" w:hAnsi="Helvetica" w:cs="Helvetica"/>
          <w:sz w:val="20"/>
          <w:szCs w:val="24"/>
        </w:rPr>
        <w:t xml:space="preserve"> 2 punktą, </w:t>
      </w:r>
      <w:r w:rsidR="00757906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piktybinis PEComa </w:t>
      </w:r>
      <w:r w:rsidR="00757906" w:rsidRPr="00CF38AA">
        <w:rPr>
          <w:rFonts w:ascii="Helvetica" w:hAnsi="Helvetica" w:cs="Helvetica"/>
          <w:sz w:val="20"/>
          <w:szCs w:val="24"/>
        </w:rPr>
        <w:t xml:space="preserve">yra pasirinkta </w:t>
      </w:r>
      <w:r w:rsidR="008525D6" w:rsidRPr="00CF38AA">
        <w:rPr>
          <w:rFonts w:ascii="Helvetica" w:hAnsi="Helvetica" w:cs="Helvetica"/>
          <w:sz w:val="20"/>
          <w:szCs w:val="24"/>
        </w:rPr>
        <w:t>iš grupės, kurią sudaro plaučių šviesiųjų ląstelių „cukrinis“ navikas ir PEComa, kuris kitaip nenurodytas (PEComa-NOS).</w:t>
      </w:r>
    </w:p>
    <w:p w14:paraId="22482560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158CEE46" w14:textId="7295AF2F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4.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1–3 punktų, </w:t>
      </w:r>
      <w:r w:rsidR="00757906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PEComa yra išplitęs vietoje arba metastazavęs.</w:t>
      </w:r>
    </w:p>
    <w:p w14:paraId="736E85FF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sz w:val="20"/>
          <w:szCs w:val="24"/>
        </w:rPr>
      </w:pPr>
    </w:p>
    <w:p w14:paraId="5A9DB49E" w14:textId="418CAABD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5.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>Kompozicija, skirta naudoti pagal bet kurį iš 1–4 punktų, kai piktybinis PEComa yra pasikartojantis.</w:t>
      </w:r>
    </w:p>
    <w:p w14:paraId="27856E31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sz w:val="20"/>
          <w:szCs w:val="24"/>
        </w:rPr>
      </w:pPr>
    </w:p>
    <w:p w14:paraId="6F26EC49" w14:textId="404D0686" w:rsidR="008525D6" w:rsidRPr="00CF38AA" w:rsidRDefault="00305C09" w:rsidP="00CF38AA">
      <w:pPr>
        <w:pStyle w:val="BodyText1"/>
        <w:widowControl/>
        <w:shd w:val="clear" w:color="auto" w:fill="auto"/>
        <w:tabs>
          <w:tab w:val="right" w:pos="6021"/>
        </w:tabs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6.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1–5 punktų, </w:t>
      </w:r>
      <w:r w:rsidR="00757906" w:rsidRPr="00CF38AA">
        <w:rPr>
          <w:rFonts w:ascii="Helvetica" w:hAnsi="Helvetica" w:cs="Helvetica"/>
          <w:sz w:val="20"/>
          <w:szCs w:val="24"/>
        </w:rPr>
        <w:t xml:space="preserve">kur veiksmingas </w:t>
      </w:r>
      <w:r w:rsidR="008525D6" w:rsidRPr="00CF38AA">
        <w:rPr>
          <w:rFonts w:ascii="Helvetica" w:hAnsi="Helvetica" w:cs="Helvetica"/>
          <w:sz w:val="20"/>
          <w:szCs w:val="24"/>
        </w:rPr>
        <w:t>sirolimuzo kiekis nanodalelių kompozicijoje yra nuo 10 mg/m</w:t>
      </w:r>
      <w:r w:rsidR="008525D6" w:rsidRPr="00CF38AA">
        <w:rPr>
          <w:rFonts w:ascii="Helvetica" w:hAnsi="Helvetica" w:cs="Helvetica"/>
          <w:sz w:val="20"/>
          <w:szCs w:val="24"/>
          <w:vertAlign w:val="superscript"/>
        </w:rPr>
        <w:t>2</w:t>
      </w:r>
      <w:r w:rsidR="008525D6" w:rsidRPr="00CF38AA">
        <w:rPr>
          <w:rFonts w:ascii="Helvetica" w:hAnsi="Helvetica" w:cs="Helvetica"/>
          <w:sz w:val="20"/>
          <w:szCs w:val="24"/>
        </w:rPr>
        <w:t xml:space="preserve"> iki 100 mg/m</w:t>
      </w:r>
      <w:r w:rsidR="008525D6" w:rsidRPr="00CF38AA">
        <w:rPr>
          <w:rFonts w:ascii="Helvetica" w:hAnsi="Helvetica" w:cs="Helvetica"/>
          <w:sz w:val="20"/>
          <w:szCs w:val="24"/>
          <w:vertAlign w:val="superscript"/>
        </w:rPr>
        <w:t>2</w:t>
      </w:r>
      <w:r w:rsidR="008525D6" w:rsidRPr="00CF38AA">
        <w:rPr>
          <w:rFonts w:ascii="Helvetica" w:hAnsi="Helvetica" w:cs="Helvetica"/>
          <w:sz w:val="20"/>
          <w:szCs w:val="24"/>
        </w:rPr>
        <w:t xml:space="preserve">, geriausia, </w:t>
      </w:r>
      <w:r w:rsidR="00757906" w:rsidRPr="00CF38AA">
        <w:rPr>
          <w:rFonts w:ascii="Helvetica" w:hAnsi="Helvetica" w:cs="Helvetica"/>
          <w:sz w:val="20"/>
          <w:szCs w:val="24"/>
        </w:rPr>
        <w:t xml:space="preserve">kur veiksmingas </w:t>
      </w:r>
      <w:r w:rsidR="008525D6" w:rsidRPr="00CF38AA">
        <w:rPr>
          <w:rFonts w:ascii="Helvetica" w:hAnsi="Helvetica" w:cs="Helvetica"/>
          <w:sz w:val="20"/>
          <w:szCs w:val="24"/>
        </w:rPr>
        <w:t>sirolimuzo kiekis nanodalelių kompozicijoje yra 75 mg/m</w:t>
      </w:r>
      <w:r w:rsidR="008525D6" w:rsidRPr="00CF38AA">
        <w:rPr>
          <w:rFonts w:ascii="Helvetica" w:hAnsi="Helvetica" w:cs="Helvetica"/>
          <w:sz w:val="20"/>
          <w:szCs w:val="24"/>
          <w:vertAlign w:val="superscript"/>
        </w:rPr>
        <w:t>2</w:t>
      </w:r>
      <w:r w:rsidR="008525D6" w:rsidRPr="00CF38AA">
        <w:rPr>
          <w:rFonts w:ascii="Helvetica" w:hAnsi="Helvetica" w:cs="Helvetica"/>
          <w:sz w:val="20"/>
          <w:szCs w:val="24"/>
        </w:rPr>
        <w:t xml:space="preserve"> ar</w:t>
      </w:r>
      <w:r w:rsidR="00757906" w:rsidRPr="00CF38AA">
        <w:rPr>
          <w:rFonts w:ascii="Helvetica" w:hAnsi="Helvetica" w:cs="Helvetica"/>
          <w:sz w:val="20"/>
          <w:szCs w:val="24"/>
        </w:rPr>
        <w:t>ba</w:t>
      </w:r>
      <w:r w:rsidR="008525D6" w:rsidRPr="00CF38AA">
        <w:rPr>
          <w:rFonts w:ascii="Helvetica" w:hAnsi="Helvetica" w:cs="Helvetica"/>
          <w:sz w:val="20"/>
          <w:szCs w:val="24"/>
        </w:rPr>
        <w:t xml:space="preserve"> 100 mg/m</w:t>
      </w:r>
      <w:r w:rsidR="008525D6" w:rsidRPr="00CF38AA">
        <w:rPr>
          <w:rFonts w:ascii="Helvetica" w:hAnsi="Helvetica" w:cs="Helvetica"/>
          <w:sz w:val="20"/>
          <w:szCs w:val="24"/>
          <w:vertAlign w:val="superscript"/>
        </w:rPr>
        <w:t>2</w:t>
      </w:r>
      <w:r w:rsidR="008525D6" w:rsidRPr="00CF38AA">
        <w:rPr>
          <w:rFonts w:ascii="Helvetica" w:hAnsi="Helvetica" w:cs="Helvetica"/>
          <w:sz w:val="20"/>
          <w:szCs w:val="24"/>
        </w:rPr>
        <w:t>.</w:t>
      </w:r>
    </w:p>
    <w:p w14:paraId="44562068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43439306" w14:textId="44CE95D0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7.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1–6 punktų, </w:t>
      </w:r>
      <w:r w:rsidR="00757906" w:rsidRPr="00CF38AA">
        <w:rPr>
          <w:rFonts w:ascii="Helvetica" w:hAnsi="Helvetica" w:cs="Helvetica"/>
          <w:sz w:val="20"/>
          <w:szCs w:val="24"/>
        </w:rPr>
        <w:t>kur</w:t>
      </w:r>
      <w:r w:rsidR="00C958B3" w:rsidRPr="00CF38AA">
        <w:rPr>
          <w:rFonts w:ascii="Helvetica" w:hAnsi="Helvetica" w:cs="Helvetica"/>
          <w:sz w:val="20"/>
          <w:szCs w:val="24"/>
        </w:rPr>
        <w:t xml:space="preserve"> būdas apima nanodalelių kompozicijos įvedimą kas savaitę</w:t>
      </w:r>
      <w:r w:rsidR="008525D6" w:rsidRPr="00CF38AA">
        <w:rPr>
          <w:rFonts w:ascii="Helvetica" w:hAnsi="Helvetica" w:cs="Helvetica"/>
          <w:sz w:val="20"/>
          <w:szCs w:val="24"/>
        </w:rPr>
        <w:t xml:space="preserve">, geriausia,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būdas apima nanodalelių kompozicijos įvedimą 2 </w:t>
      </w:r>
      <w:r w:rsidR="002F5586" w:rsidRPr="00CF38AA">
        <w:rPr>
          <w:rFonts w:ascii="Helvetica" w:hAnsi="Helvetica" w:cs="Helvetica"/>
          <w:sz w:val="20"/>
          <w:szCs w:val="24"/>
        </w:rPr>
        <w:t>savaičių laikotarpyje</w:t>
      </w:r>
      <w:r w:rsidR="00A60A19" w:rsidRPr="00CF38AA">
        <w:rPr>
          <w:rFonts w:ascii="Helvetica" w:hAnsi="Helvetica" w:cs="Helvetica"/>
          <w:sz w:val="20"/>
          <w:szCs w:val="24"/>
        </w:rPr>
        <w:t>,</w:t>
      </w:r>
      <w:r w:rsidR="002F5586" w:rsidRPr="00CF38AA">
        <w:rPr>
          <w:rFonts w:ascii="Helvetica" w:hAnsi="Helvetica" w:cs="Helvetica"/>
          <w:sz w:val="20"/>
          <w:szCs w:val="24"/>
        </w:rPr>
        <w:t xml:space="preserve"> </w:t>
      </w:r>
      <w:r w:rsidR="00A60A19" w:rsidRPr="00CF38AA">
        <w:rPr>
          <w:rFonts w:ascii="Helvetica" w:hAnsi="Helvetica" w:cs="Helvetica"/>
          <w:sz w:val="20"/>
          <w:szCs w:val="24"/>
        </w:rPr>
        <w:t>kiekviename</w:t>
      </w:r>
      <w:r w:rsidR="002F5586" w:rsidRPr="00CF38AA">
        <w:rPr>
          <w:rFonts w:ascii="Helvetica" w:hAnsi="Helvetica" w:cs="Helvetica"/>
          <w:sz w:val="20"/>
          <w:szCs w:val="24"/>
        </w:rPr>
        <w:t xml:space="preserve"> </w:t>
      </w:r>
      <w:r w:rsidR="00A60A19" w:rsidRPr="00CF38AA">
        <w:rPr>
          <w:rFonts w:ascii="Helvetica" w:hAnsi="Helvetica" w:cs="Helvetica"/>
          <w:sz w:val="20"/>
          <w:szCs w:val="24"/>
        </w:rPr>
        <w:t xml:space="preserve">kas </w:t>
      </w:r>
      <w:r w:rsidR="00C958B3" w:rsidRPr="00CF38AA">
        <w:rPr>
          <w:rFonts w:ascii="Helvetica" w:hAnsi="Helvetica" w:cs="Helvetica"/>
          <w:sz w:val="20"/>
          <w:szCs w:val="24"/>
        </w:rPr>
        <w:t xml:space="preserve">3 </w:t>
      </w:r>
      <w:r w:rsidR="002F5586" w:rsidRPr="00CF38AA">
        <w:rPr>
          <w:rFonts w:ascii="Helvetica" w:hAnsi="Helvetica" w:cs="Helvetica"/>
          <w:sz w:val="20"/>
          <w:szCs w:val="24"/>
        </w:rPr>
        <w:t>savaičių laikotarp</w:t>
      </w:r>
      <w:r w:rsidR="00A60A19" w:rsidRPr="00CF38AA">
        <w:rPr>
          <w:rFonts w:ascii="Helvetica" w:hAnsi="Helvetica" w:cs="Helvetica"/>
          <w:sz w:val="20"/>
          <w:szCs w:val="24"/>
        </w:rPr>
        <w:t>yje</w:t>
      </w:r>
      <w:r w:rsidR="008525D6" w:rsidRPr="00CF38AA">
        <w:rPr>
          <w:rFonts w:ascii="Helvetica" w:hAnsi="Helvetica" w:cs="Helvetica"/>
          <w:sz w:val="20"/>
          <w:szCs w:val="24"/>
        </w:rPr>
        <w:t>.</w:t>
      </w:r>
    </w:p>
    <w:p w14:paraId="4BAAA77E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572ADEA1" w14:textId="37261970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8.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1–7 punktų,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vidutinis nanodalelių skersmuo yra ne didesnis nei 150 nm, geriausia, kai vidutinis nanodalelių skersmuo yra ne didesnis nei 120 nm.</w:t>
      </w:r>
    </w:p>
    <w:p w14:paraId="2A39CC45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22ABADAB" w14:textId="6CE86363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9.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1–8 punktų,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sirolimuzas yra </w:t>
      </w:r>
      <w:r w:rsidR="00C958B3" w:rsidRPr="00CF38AA">
        <w:rPr>
          <w:rFonts w:ascii="Helvetica" w:hAnsi="Helvetica" w:cs="Helvetica"/>
          <w:sz w:val="20"/>
          <w:szCs w:val="24"/>
        </w:rPr>
        <w:t xml:space="preserve">susietas </w:t>
      </w:r>
      <w:r w:rsidR="008525D6" w:rsidRPr="00CF38AA">
        <w:rPr>
          <w:rFonts w:ascii="Helvetica" w:hAnsi="Helvetica" w:cs="Helvetica"/>
          <w:sz w:val="20"/>
          <w:szCs w:val="24"/>
        </w:rPr>
        <w:t>su albuminu.</w:t>
      </w:r>
    </w:p>
    <w:p w14:paraId="687A4BD1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2F32312B" w14:textId="065E3DEC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10.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1–9 punktų,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albumino ir sirolimuzo svorio santykis nanodalelių kompozicijoje yra nuo 1:1 iki 9:1, geriausia – 9:1.</w:t>
      </w:r>
    </w:p>
    <w:p w14:paraId="51B35394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3395135E" w14:textId="36BB7CE6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11.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1–10 punktų,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albuminas yra žmogaus albuminas, geriausia,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albuminas yra žmogaus serumo albuminas.</w:t>
      </w:r>
    </w:p>
    <w:p w14:paraId="20EF4280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7914C154" w14:textId="679A2E4E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12.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>Kompozicija, skirta naudoti pagal bet kurį iš 1–11 punktų,</w:t>
      </w:r>
      <w:r w:rsidR="00CF38AA" w:rsidRPr="00CF38AA">
        <w:rPr>
          <w:rFonts w:ascii="Helvetica" w:hAnsi="Helvetica" w:cs="Helvetica"/>
          <w:sz w:val="20"/>
          <w:szCs w:val="24"/>
        </w:rPr>
        <w:t xml:space="preserve"> </w:t>
      </w:r>
      <w:r w:rsidR="00C958B3" w:rsidRPr="00CF38AA">
        <w:rPr>
          <w:rFonts w:ascii="Helvetica" w:hAnsi="Helvetica" w:cs="Helvetica"/>
          <w:sz w:val="20"/>
          <w:szCs w:val="24"/>
        </w:rPr>
        <w:t>kur</w:t>
      </w:r>
      <w:r w:rsidR="008525D6" w:rsidRPr="00CF38AA">
        <w:rPr>
          <w:rFonts w:ascii="Helvetica" w:hAnsi="Helvetica" w:cs="Helvetica"/>
          <w:sz w:val="20"/>
          <w:szCs w:val="24"/>
        </w:rPr>
        <w:t xml:space="preserve"> būdas </w:t>
      </w:r>
      <w:r w:rsidR="00F001DF" w:rsidRPr="00CF38AA">
        <w:rPr>
          <w:rFonts w:ascii="Helvetica" w:hAnsi="Helvetica" w:cs="Helvetica"/>
          <w:sz w:val="20"/>
          <w:szCs w:val="24"/>
        </w:rPr>
        <w:t>papildomai</w:t>
      </w:r>
      <w:r w:rsidR="008525D6" w:rsidRPr="00CF38AA">
        <w:rPr>
          <w:rFonts w:ascii="Helvetica" w:hAnsi="Helvetica" w:cs="Helvetica"/>
          <w:sz w:val="20"/>
          <w:szCs w:val="24"/>
        </w:rPr>
        <w:t xml:space="preserve"> apima asmens parinkimą gydymui pagal melanocitinio žymens lygį ir lygiųjų raumenų žymens lygį, geriausia,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melanocitinio žymens lygis ir lygiųjų raumenų žymens lygis nustatomas imunohistochemijos būdu.</w:t>
      </w:r>
    </w:p>
    <w:p w14:paraId="7128FBD0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2C49BEF5" w14:textId="15D6EC03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13.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12 punktą, </w:t>
      </w:r>
      <w:r w:rsidR="00C958B3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melanocitinis žymuo </w:t>
      </w:r>
      <w:r w:rsidR="00C958B3" w:rsidRPr="00CF38AA">
        <w:rPr>
          <w:rFonts w:ascii="Helvetica" w:hAnsi="Helvetica" w:cs="Helvetica"/>
          <w:sz w:val="20"/>
          <w:szCs w:val="24"/>
        </w:rPr>
        <w:t xml:space="preserve">yra parinktas </w:t>
      </w:r>
      <w:r w:rsidR="008525D6" w:rsidRPr="00CF38AA">
        <w:rPr>
          <w:rFonts w:ascii="Helvetica" w:hAnsi="Helvetica" w:cs="Helvetica"/>
          <w:sz w:val="20"/>
          <w:szCs w:val="24"/>
        </w:rPr>
        <w:t>iš grupės, sudarytos iš HMB45, MelanA arba mikroftalamijos transkripcijos faktoriaus, ir (arba)</w:t>
      </w:r>
    </w:p>
    <w:p w14:paraId="242F9832" w14:textId="02CBEB95" w:rsidR="008525D6" w:rsidRPr="00CF38AA" w:rsidRDefault="00C958B3" w:rsidP="00CF38AA">
      <w:pPr>
        <w:pStyle w:val="BodyText1"/>
        <w:widowControl/>
        <w:shd w:val="clear" w:color="auto" w:fill="auto"/>
        <w:tabs>
          <w:tab w:val="left" w:pos="720"/>
        </w:tabs>
        <w:spacing w:before="0" w:line="360" w:lineRule="auto"/>
        <w:ind w:firstLine="0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lygiųjų raumenų žymuo </w:t>
      </w:r>
      <w:r w:rsidRPr="00CF38AA">
        <w:rPr>
          <w:rFonts w:ascii="Helvetica" w:hAnsi="Helvetica" w:cs="Helvetica"/>
          <w:sz w:val="20"/>
          <w:szCs w:val="24"/>
        </w:rPr>
        <w:t xml:space="preserve">yra parinktas </w:t>
      </w:r>
      <w:r w:rsidR="008525D6" w:rsidRPr="00CF38AA">
        <w:rPr>
          <w:rFonts w:ascii="Helvetica" w:hAnsi="Helvetica" w:cs="Helvetica"/>
          <w:sz w:val="20"/>
          <w:szCs w:val="24"/>
        </w:rPr>
        <w:t>iš grupės, sudarytos iš lygiųjų raumenų aktino, visų raumenų aktino, h-kaldesmono ir kalponino.</w:t>
      </w:r>
    </w:p>
    <w:p w14:paraId="6813E2F3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50EE6BD0" w14:textId="4C515AC4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14.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>Kompozicija, skirta naudoti pagal 12 ar</w:t>
      </w:r>
      <w:r w:rsidR="000C5ACE" w:rsidRPr="00CF38AA">
        <w:rPr>
          <w:rFonts w:ascii="Helvetica" w:hAnsi="Helvetica" w:cs="Helvetica"/>
          <w:sz w:val="20"/>
          <w:szCs w:val="24"/>
        </w:rPr>
        <w:t>ba</w:t>
      </w:r>
      <w:r w:rsidR="008525D6" w:rsidRPr="00CF38AA">
        <w:rPr>
          <w:rFonts w:ascii="Helvetica" w:hAnsi="Helvetica" w:cs="Helvetica"/>
          <w:sz w:val="20"/>
          <w:szCs w:val="24"/>
        </w:rPr>
        <w:t xml:space="preserve"> 13 punktą,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asmens melanocitinio žymens ir lygiųjų raumenų žymens lygis aukštas.</w:t>
      </w:r>
    </w:p>
    <w:p w14:paraId="507F8B51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68599177" w14:textId="5DF664A2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15.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1–14 punktų,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būdas </w:t>
      </w:r>
      <w:r w:rsidR="00F001DF" w:rsidRPr="00CF38AA">
        <w:rPr>
          <w:rFonts w:ascii="Helvetica" w:hAnsi="Helvetica" w:cs="Helvetica"/>
          <w:sz w:val="20"/>
          <w:szCs w:val="24"/>
        </w:rPr>
        <w:t>papildomai</w:t>
      </w:r>
      <w:r w:rsidR="008525D6" w:rsidRPr="00CF38AA">
        <w:rPr>
          <w:rFonts w:ascii="Helvetica" w:hAnsi="Helvetica" w:cs="Helvetica"/>
          <w:sz w:val="20"/>
          <w:szCs w:val="24"/>
        </w:rPr>
        <w:t xml:space="preserve"> apima asmens parinkimą gydymui pagal geno, parinkto iš grupės, sudarytos iš TSC1, TSC2, TFE3, RHEB, MTOR, AKT, PIK3CA ir PTEN, mutacijos būseną,</w:t>
      </w:r>
      <w:r w:rsidR="00CF38AA" w:rsidRPr="00CF38AA">
        <w:rPr>
          <w:rFonts w:ascii="Helvetica" w:hAnsi="Helvetica" w:cs="Helvetica"/>
          <w:sz w:val="20"/>
          <w:szCs w:val="24"/>
        </w:rPr>
        <w:t xml:space="preserve"> </w:t>
      </w:r>
      <w:r w:rsidR="00FD6D5B" w:rsidRPr="00CF38AA">
        <w:rPr>
          <w:rFonts w:ascii="Helvetica" w:hAnsi="Helvetica" w:cs="Helvetica"/>
          <w:sz w:val="20"/>
          <w:szCs w:val="24"/>
        </w:rPr>
        <w:t>geriausia, kur</w:t>
      </w:r>
      <w:r w:rsidR="008525D6" w:rsidRPr="00CF38AA">
        <w:rPr>
          <w:rFonts w:ascii="Helvetica" w:hAnsi="Helvetica" w:cs="Helvetica"/>
          <w:sz w:val="20"/>
          <w:szCs w:val="24"/>
        </w:rPr>
        <w:t xml:space="preserve"> geno mutacijos būsena nustatoma taikant genų sekoskaitą.</w:t>
      </w:r>
    </w:p>
    <w:p w14:paraId="3F2DC3D4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4631EF4A" w14:textId="481094EB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16.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15 punktą,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asmuo </w:t>
      </w:r>
      <w:r w:rsidR="00FD6D5B" w:rsidRPr="00CF38AA">
        <w:rPr>
          <w:rFonts w:ascii="Helvetica" w:hAnsi="Helvetica" w:cs="Helvetica"/>
          <w:sz w:val="20"/>
          <w:szCs w:val="24"/>
        </w:rPr>
        <w:t xml:space="preserve">yra pasirinktas </w:t>
      </w:r>
      <w:r w:rsidR="008525D6" w:rsidRPr="00CF38AA">
        <w:rPr>
          <w:rFonts w:ascii="Helvetica" w:hAnsi="Helvetica" w:cs="Helvetica"/>
          <w:sz w:val="20"/>
          <w:szCs w:val="24"/>
        </w:rPr>
        <w:t>gydymui, jei asmuo turi mutaciją gene.</w:t>
      </w:r>
    </w:p>
    <w:p w14:paraId="78B3DBA3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04B5C620" w14:textId="59BE684B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17.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1–16 punktų,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būdas </w:t>
      </w:r>
      <w:r w:rsidR="00F001DF" w:rsidRPr="00CF38AA">
        <w:rPr>
          <w:rFonts w:ascii="Helvetica" w:hAnsi="Helvetica" w:cs="Helvetica"/>
          <w:sz w:val="20"/>
          <w:szCs w:val="24"/>
        </w:rPr>
        <w:t>papildomai</w:t>
      </w:r>
      <w:r w:rsidR="008525D6" w:rsidRPr="00CF38AA">
        <w:rPr>
          <w:rFonts w:ascii="Helvetica" w:hAnsi="Helvetica" w:cs="Helvetica"/>
          <w:sz w:val="20"/>
          <w:szCs w:val="24"/>
        </w:rPr>
        <w:t xml:space="preserve"> apima asmens parinkimą gydymui pagal baltymo, parinkto iš grupės, sudarytos iš AKT, S6, S6K, ir 4EBP1, fosforilinimo būseną.</w:t>
      </w:r>
    </w:p>
    <w:p w14:paraId="7584EC2C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4C7E5DBD" w14:textId="26FDE69D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18.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1–17 punktų,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 xml:space="preserve">būdas </w:t>
      </w:r>
      <w:r w:rsidR="00F001DF" w:rsidRPr="00CF38AA">
        <w:rPr>
          <w:rFonts w:ascii="Helvetica" w:hAnsi="Helvetica" w:cs="Helvetica"/>
          <w:sz w:val="20"/>
          <w:szCs w:val="24"/>
        </w:rPr>
        <w:t>papildomai</w:t>
      </w:r>
      <w:r w:rsidR="008525D6" w:rsidRPr="00CF38AA">
        <w:rPr>
          <w:rFonts w:ascii="Helvetica" w:hAnsi="Helvetica" w:cs="Helvetica"/>
          <w:sz w:val="20"/>
          <w:szCs w:val="24"/>
        </w:rPr>
        <w:t xml:space="preserve"> apima asmens parinkimą gydymui pagal proliferacijos žymens ir (arba) apoptozės žymens lygį, geriausia,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proliferacijos žymens lygis ir apoptozės žymens lygis nustatomas imunohistochemijos būdu.</w:t>
      </w:r>
    </w:p>
    <w:p w14:paraId="56C896D5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33611FDF" w14:textId="07655DB5" w:rsidR="00FD6D5B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19.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18 punktą,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proliferacijos žymuo yra Ki-67</w:t>
      </w:r>
      <w:r w:rsidR="00FD6D5B" w:rsidRPr="00CF38AA">
        <w:rPr>
          <w:rFonts w:ascii="Helvetica" w:hAnsi="Helvetica" w:cs="Helvetica"/>
          <w:sz w:val="20"/>
          <w:szCs w:val="24"/>
        </w:rPr>
        <w:t>;</w:t>
      </w:r>
      <w:r w:rsidR="008525D6" w:rsidRPr="00CF38AA">
        <w:rPr>
          <w:rFonts w:ascii="Helvetica" w:hAnsi="Helvetica" w:cs="Helvetica"/>
          <w:sz w:val="20"/>
          <w:szCs w:val="24"/>
        </w:rPr>
        <w:t xml:space="preserve"> </w:t>
      </w:r>
    </w:p>
    <w:p w14:paraId="06049EB0" w14:textId="77777777" w:rsidR="00FD6D5B" w:rsidRPr="00CF38AA" w:rsidRDefault="008525D6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sz w:val="20"/>
          <w:szCs w:val="24"/>
        </w:rPr>
        <w:t xml:space="preserve">ir (arba) </w:t>
      </w:r>
    </w:p>
    <w:p w14:paraId="26DF0AA1" w14:textId="3C32A07D" w:rsidR="008525D6" w:rsidRPr="00CF38AA" w:rsidRDefault="00FD6D5B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apoptozės žymuo yra PARP arba jos fragmentas.</w:t>
      </w:r>
    </w:p>
    <w:p w14:paraId="47E5FE12" w14:textId="77777777" w:rsidR="00CF38AA" w:rsidRPr="00CF38AA" w:rsidRDefault="00CF38AA" w:rsidP="00CF38AA">
      <w:pPr>
        <w:pStyle w:val="BodyText1"/>
        <w:widowControl/>
        <w:shd w:val="clear" w:color="auto" w:fill="auto"/>
        <w:spacing w:before="0" w:line="360" w:lineRule="auto"/>
        <w:ind w:firstLine="0"/>
        <w:rPr>
          <w:rFonts w:ascii="Helvetica" w:hAnsi="Helvetica" w:cs="Helvetica"/>
          <w:color w:val="000000"/>
          <w:sz w:val="20"/>
          <w:szCs w:val="24"/>
          <w:lang w:bidi="en-US"/>
        </w:rPr>
      </w:pPr>
    </w:p>
    <w:p w14:paraId="55A79CB3" w14:textId="684F5E6A" w:rsidR="008525D6" w:rsidRPr="00CF38AA" w:rsidRDefault="00305C09" w:rsidP="00CF38AA">
      <w:pPr>
        <w:pStyle w:val="BodyText1"/>
        <w:widowControl/>
        <w:shd w:val="clear" w:color="auto" w:fill="auto"/>
        <w:spacing w:before="0" w:line="360" w:lineRule="auto"/>
        <w:ind w:firstLine="567"/>
        <w:rPr>
          <w:rFonts w:ascii="Helvetica" w:hAnsi="Helvetica" w:cs="Helvetica"/>
          <w:sz w:val="20"/>
          <w:szCs w:val="24"/>
        </w:rPr>
      </w:pPr>
      <w:r w:rsidRPr="00CF38AA">
        <w:rPr>
          <w:rFonts w:ascii="Helvetica" w:hAnsi="Helvetica" w:cs="Helvetica"/>
          <w:color w:val="000000"/>
          <w:sz w:val="20"/>
          <w:szCs w:val="24"/>
          <w:lang w:bidi="en-US"/>
        </w:rPr>
        <w:t>20.</w:t>
      </w:r>
      <w:r w:rsidR="00CF38AA" w:rsidRPr="00CF38AA">
        <w:rPr>
          <w:rFonts w:ascii="Helvetica" w:hAnsi="Helvetica" w:cs="Helvetica"/>
          <w:color w:val="000000"/>
          <w:sz w:val="20"/>
          <w:szCs w:val="24"/>
          <w:lang w:bidi="en-US"/>
        </w:rPr>
        <w:t xml:space="preserve"> </w:t>
      </w:r>
      <w:r w:rsidR="008525D6" w:rsidRPr="00CF38AA">
        <w:rPr>
          <w:rFonts w:ascii="Helvetica" w:hAnsi="Helvetica" w:cs="Helvetica"/>
          <w:sz w:val="20"/>
          <w:szCs w:val="24"/>
        </w:rPr>
        <w:t xml:space="preserve">Kompozicija, skirta naudoti pagal bet kurį iš 1–19 punktų,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asmuo anksčiau nebuvo gydomas mTOR inhibitoriumi</w:t>
      </w:r>
      <w:r w:rsidR="00FD6D5B" w:rsidRPr="00CF38AA">
        <w:rPr>
          <w:rFonts w:ascii="Helvetica" w:hAnsi="Helvetica" w:cs="Helvetica"/>
          <w:sz w:val="20"/>
          <w:szCs w:val="24"/>
        </w:rPr>
        <w:t>,</w:t>
      </w:r>
      <w:r w:rsidR="008525D6" w:rsidRPr="00CF38AA">
        <w:rPr>
          <w:rFonts w:ascii="Helvetica" w:hAnsi="Helvetica" w:cs="Helvetica"/>
          <w:sz w:val="20"/>
          <w:szCs w:val="24"/>
        </w:rPr>
        <w:t xml:space="preserve"> ir (arba) </w:t>
      </w:r>
      <w:r w:rsidR="00FD6D5B" w:rsidRPr="00CF38AA">
        <w:rPr>
          <w:rFonts w:ascii="Helvetica" w:hAnsi="Helvetica" w:cs="Helvetica"/>
          <w:sz w:val="20"/>
          <w:szCs w:val="24"/>
        </w:rPr>
        <w:t xml:space="preserve">kur </w:t>
      </w:r>
      <w:r w:rsidR="008525D6" w:rsidRPr="00CF38AA">
        <w:rPr>
          <w:rFonts w:ascii="Helvetica" w:hAnsi="Helvetica" w:cs="Helvetica"/>
          <w:sz w:val="20"/>
          <w:szCs w:val="24"/>
        </w:rPr>
        <w:t>asmuo anksčiau buvo gydomas chemoterapiniu, radioterapiniu ar</w:t>
      </w:r>
      <w:r w:rsidR="00FD6D5B" w:rsidRPr="00CF38AA">
        <w:rPr>
          <w:rFonts w:ascii="Helvetica" w:hAnsi="Helvetica" w:cs="Helvetica"/>
          <w:sz w:val="20"/>
          <w:szCs w:val="24"/>
        </w:rPr>
        <w:t>ba</w:t>
      </w:r>
      <w:r w:rsidR="008525D6" w:rsidRPr="00CF38AA">
        <w:rPr>
          <w:rFonts w:ascii="Helvetica" w:hAnsi="Helvetica" w:cs="Helvetica"/>
          <w:sz w:val="20"/>
          <w:szCs w:val="24"/>
        </w:rPr>
        <w:t xml:space="preserve"> chirurginiu būdu.</w:t>
      </w:r>
      <w:bookmarkStart w:id="0" w:name="_GoBack"/>
      <w:bookmarkEnd w:id="0"/>
    </w:p>
    <w:sectPr w:rsidR="008525D6" w:rsidRPr="00CF38AA" w:rsidSect="00CF38AA">
      <w:pgSz w:w="11909" w:h="16834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9DDE6" w14:textId="77777777" w:rsidR="00657D43" w:rsidRDefault="00657D43" w:rsidP="00305C09">
      <w:pPr>
        <w:spacing w:after="0" w:line="240" w:lineRule="auto"/>
      </w:pPr>
      <w:r>
        <w:separator/>
      </w:r>
    </w:p>
  </w:endnote>
  <w:endnote w:type="continuationSeparator" w:id="0">
    <w:p w14:paraId="4CC49EC0" w14:textId="77777777" w:rsidR="00657D43" w:rsidRDefault="00657D43" w:rsidP="0030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96B75" w14:textId="77777777" w:rsidR="00657D43" w:rsidRDefault="00657D43" w:rsidP="00305C09">
      <w:pPr>
        <w:spacing w:after="0" w:line="240" w:lineRule="auto"/>
      </w:pPr>
      <w:r>
        <w:separator/>
      </w:r>
    </w:p>
  </w:footnote>
  <w:footnote w:type="continuationSeparator" w:id="0">
    <w:p w14:paraId="4BAA8D0D" w14:textId="77777777" w:rsidR="00657D43" w:rsidRDefault="00657D43" w:rsidP="00305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887"/>
    <w:multiLevelType w:val="multilevel"/>
    <w:tmpl w:val="548CE8D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B85B83"/>
    <w:multiLevelType w:val="multilevel"/>
    <w:tmpl w:val="52226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F06E3F"/>
    <w:multiLevelType w:val="multilevel"/>
    <w:tmpl w:val="79F89E06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AC20EE"/>
    <w:multiLevelType w:val="hybridMultilevel"/>
    <w:tmpl w:val="DCD20BB4"/>
    <w:lvl w:ilvl="0" w:tplc="1284D0E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removePersonalInformation/>
  <w:removeDateAndTime/>
  <w:proofState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16"/>
    <w:rsid w:val="00010C4B"/>
    <w:rsid w:val="00022746"/>
    <w:rsid w:val="00065C67"/>
    <w:rsid w:val="000955FF"/>
    <w:rsid w:val="000C5ACE"/>
    <w:rsid w:val="000E6175"/>
    <w:rsid w:val="000F1F9C"/>
    <w:rsid w:val="001C2226"/>
    <w:rsid w:val="001D4909"/>
    <w:rsid w:val="00241271"/>
    <w:rsid w:val="00260520"/>
    <w:rsid w:val="0027494C"/>
    <w:rsid w:val="002F5586"/>
    <w:rsid w:val="00305C09"/>
    <w:rsid w:val="00354A0B"/>
    <w:rsid w:val="003F7214"/>
    <w:rsid w:val="00423F5A"/>
    <w:rsid w:val="004527DE"/>
    <w:rsid w:val="004757BD"/>
    <w:rsid w:val="004F7B83"/>
    <w:rsid w:val="00657D43"/>
    <w:rsid w:val="006833EF"/>
    <w:rsid w:val="006A2B4A"/>
    <w:rsid w:val="00757906"/>
    <w:rsid w:val="008525D6"/>
    <w:rsid w:val="00906885"/>
    <w:rsid w:val="00923B90"/>
    <w:rsid w:val="0094208E"/>
    <w:rsid w:val="009F5E16"/>
    <w:rsid w:val="00A60A19"/>
    <w:rsid w:val="00B27D2F"/>
    <w:rsid w:val="00C958B3"/>
    <w:rsid w:val="00CD13B6"/>
    <w:rsid w:val="00CF38AA"/>
    <w:rsid w:val="00CF41B6"/>
    <w:rsid w:val="00EC6020"/>
    <w:rsid w:val="00F001DF"/>
    <w:rsid w:val="00F92C6F"/>
    <w:rsid w:val="00FA0FB5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2F26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525D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8525D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8525D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Bodytext565pt">
    <w:name w:val="Body text (5) + 6.5 pt"/>
    <w:basedOn w:val="Bodytext5"/>
    <w:rsid w:val="008525D6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lt-LT" w:eastAsia="en-US" w:bidi="en-US"/>
    </w:rPr>
  </w:style>
  <w:style w:type="paragraph" w:customStyle="1" w:styleId="BodyText1">
    <w:name w:val="Body Text1"/>
    <w:basedOn w:val="Normal"/>
    <w:link w:val="Bodytext"/>
    <w:rsid w:val="008525D6"/>
    <w:pPr>
      <w:widowControl w:val="0"/>
      <w:shd w:val="clear" w:color="auto" w:fill="FFFFFF"/>
      <w:spacing w:before="360" w:after="0" w:line="182" w:lineRule="exact"/>
      <w:ind w:hanging="460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20">
    <w:name w:val="Body text (12)"/>
    <w:basedOn w:val="Normal"/>
    <w:link w:val="Bodytext12"/>
    <w:rsid w:val="008525D6"/>
    <w:pPr>
      <w:widowControl w:val="0"/>
      <w:shd w:val="clear" w:color="auto" w:fill="FFFFFF"/>
      <w:spacing w:before="240" w:after="240" w:line="182" w:lineRule="exact"/>
      <w:jc w:val="righ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50">
    <w:name w:val="Body text (5)"/>
    <w:basedOn w:val="Normal"/>
    <w:link w:val="Bodytext5"/>
    <w:rsid w:val="008525D6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Header">
    <w:name w:val="header"/>
    <w:basedOn w:val="Normal"/>
    <w:link w:val="HeaderChar"/>
    <w:uiPriority w:val="99"/>
    <w:unhideWhenUsed/>
    <w:rsid w:val="00305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C09"/>
  </w:style>
  <w:style w:type="paragraph" w:styleId="Footer">
    <w:name w:val="footer"/>
    <w:basedOn w:val="Normal"/>
    <w:link w:val="FooterChar"/>
    <w:uiPriority w:val="99"/>
    <w:unhideWhenUsed/>
    <w:rsid w:val="00305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C09"/>
  </w:style>
  <w:style w:type="paragraph" w:styleId="Revision">
    <w:name w:val="Revision"/>
    <w:hidden/>
    <w:uiPriority w:val="99"/>
    <w:semiHidden/>
    <w:rsid w:val="00B27D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3347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2021-11-22T14:33:00Z</dcterms:created>
  <dcterms:modified xsi:type="dcterms:W3CDTF">2021-11-22T14:33:00Z</dcterms:modified>
</cp:coreProperties>
</file>