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1F50C" w14:textId="61F8FFFC" w:rsidR="00FB0022" w:rsidRPr="00BE4BA5" w:rsidRDefault="00B70727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1. </w:t>
      </w:r>
      <w:r w:rsidR="005D03CF" w:rsidRPr="00BE4BA5">
        <w:rPr>
          <w:rFonts w:ascii="Helvetica" w:hAnsi="Helvetica" w:cs="Arial"/>
          <w:sz w:val="20"/>
          <w:lang w:val="lt-LT"/>
        </w:rPr>
        <w:t xml:space="preserve">Antikūnas, kuris specifiškai rišasi prie CD38, skirtas panaudoti gydant pacientą, turintį solidų naviką, apimantis VH seką SEQ ID Nr. 4 ir VL seką SEQ ID Nr. 5, kur antikūnas yra IgG1 </w:t>
      </w:r>
      <w:proofErr w:type="spellStart"/>
      <w:r w:rsidR="005D03CF" w:rsidRPr="00BE4BA5">
        <w:rPr>
          <w:rFonts w:ascii="Helvetica" w:hAnsi="Helvetica" w:cs="Arial"/>
          <w:sz w:val="20"/>
          <w:lang w:val="lt-LT"/>
        </w:rPr>
        <w:t>izotipo</w:t>
      </w:r>
      <w:proofErr w:type="spellEnd"/>
      <w:r w:rsidR="00FB0022" w:rsidRPr="00BE4BA5">
        <w:rPr>
          <w:rFonts w:ascii="Helvetica" w:hAnsi="Helvetica" w:cs="Arial"/>
          <w:sz w:val="20"/>
          <w:lang w:val="lt-LT"/>
        </w:rPr>
        <w:t>.</w:t>
      </w:r>
    </w:p>
    <w:p w14:paraId="5172AD7E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769656" w14:textId="4CD3340D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2.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CD38, skirtas panaudoti pagal 1 punktą, kur antikūnas apima sunkiosios grandinės aminorūgščių seką SEQ ID Nr. 12 ir lengvosios grandinės aminorūgščių seką SEQ ID Nr. 13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5B7239BB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1DA8A1" w14:textId="692B8C72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3.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skirtas panaudoti pagal</w:t>
      </w:r>
      <w:r w:rsidRPr="00BE4BA5">
        <w:rPr>
          <w:rFonts w:ascii="Helvetica" w:hAnsi="Helvetica" w:cs="Arial"/>
          <w:sz w:val="20"/>
          <w:lang w:val="lt-LT"/>
        </w:rPr>
        <w:t xml:space="preserve"> 1</w:t>
      </w:r>
      <w:r w:rsidR="005D03CF" w:rsidRPr="00BE4BA5">
        <w:rPr>
          <w:rFonts w:ascii="Helvetica" w:hAnsi="Helvetica" w:cs="Arial"/>
          <w:sz w:val="20"/>
          <w:lang w:val="lt-LT"/>
        </w:rPr>
        <w:t xml:space="preserve"> punktą,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antikūnas yra</w:t>
      </w:r>
      <w:r w:rsidRPr="00BE4BA5">
        <w:rPr>
          <w:rFonts w:ascii="Helvetica" w:hAnsi="Helvetica" w:cs="Arial"/>
          <w:sz w:val="20"/>
          <w:lang w:val="lt-LT"/>
        </w:rPr>
        <w:t xml:space="preserve"> IgG1κ </w:t>
      </w:r>
      <w:proofErr w:type="spellStart"/>
      <w:r w:rsidR="00F31B9E" w:rsidRPr="00BE4BA5">
        <w:rPr>
          <w:rFonts w:ascii="Helvetica" w:hAnsi="Helvetica" w:cs="Arial"/>
          <w:sz w:val="20"/>
          <w:lang w:val="lt-LT"/>
        </w:rPr>
        <w:t>izotipo</w:t>
      </w:r>
      <w:proofErr w:type="spellEnd"/>
    </w:p>
    <w:p w14:paraId="34DAFF55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82275C" w14:textId="3441978C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4.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F31B9E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1-3</w:t>
      </w:r>
      <w:r w:rsidR="00F31B9E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solid</w:t>
      </w:r>
      <w:r w:rsidR="00F31B9E" w:rsidRPr="00BE4BA5">
        <w:rPr>
          <w:rFonts w:ascii="Helvetica" w:hAnsi="Helvetica" w:cs="Arial"/>
          <w:sz w:val="20"/>
          <w:lang w:val="lt-LT"/>
        </w:rPr>
        <w:t>inis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navikas yra</w:t>
      </w:r>
      <w:r w:rsidRPr="00BE4BA5">
        <w:rPr>
          <w:rFonts w:ascii="Helvetica" w:hAnsi="Helvetica" w:cs="Arial"/>
          <w:sz w:val="20"/>
          <w:lang w:val="lt-LT"/>
        </w:rPr>
        <w:t xml:space="preserve"> melanoma, </w:t>
      </w:r>
      <w:r w:rsidR="00CB157F" w:rsidRPr="00BE4BA5">
        <w:rPr>
          <w:rFonts w:ascii="Helvetica" w:hAnsi="Helvetica" w:cs="Arial"/>
          <w:sz w:val="20"/>
          <w:lang w:val="lt-LT"/>
        </w:rPr>
        <w:t xml:space="preserve">plaučių vėžys,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plokščialąstelinis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plaučių vėžys (NSLPV),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neplokščialąstelinis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NSLPV, gaubtinės ir tiesiosios žarnos vėžys, prostatos vėžys, kastracijai atsparus prostatos vėžys, skrandžio vėžys, kiaušidžių vėžys, skrandžio vėžys, kepenų vėžys, kasos vėžys, skydliaukės vėžys, galvos ir kaklo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plokščialąstelinė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karcinoma, stemplės arba virškinamojo trakto karcinoma, krūties vėžys, kiaušintakių vėžys, smegenų vėžys, šlaplės vėžys, lytinių ir šlapimo organų vėžys, endometriozė, gimdos kaklelio vėžys arba vėžio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metastazinis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pažeidimas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2C2CD934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55F21" w14:textId="0A90C37B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5.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1A51A1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1-4</w:t>
      </w:r>
      <w:r w:rsidR="00CB157F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solidinis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navikas neturi aptinkamos CD38 raiškos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306F5A84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F05883" w14:textId="6EA7EDFE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6.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1A51A1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1-5</w:t>
      </w:r>
      <w:r w:rsidR="00CB157F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CB157F" w:rsidRPr="00BE4BA5">
        <w:rPr>
          <w:rFonts w:ascii="Helvetica" w:hAnsi="Helvetica" w:cs="Arial"/>
          <w:sz w:val="20"/>
          <w:lang w:val="lt-LT"/>
        </w:rPr>
        <w:t>a</w:t>
      </w:r>
      <w:r w:rsidR="005D03CF" w:rsidRPr="00BE4BA5">
        <w:rPr>
          <w:rFonts w:ascii="Helvetica" w:hAnsi="Helvetica" w:cs="Arial"/>
          <w:sz w:val="20"/>
          <w:lang w:val="lt-LT"/>
        </w:rPr>
        <w:t>ntikūnas, kuris specifiškai rišasi prie CD38</w:t>
      </w:r>
      <w:r w:rsidR="00CB157F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CB157F" w:rsidRPr="00BE4BA5">
        <w:rPr>
          <w:rFonts w:ascii="Helvetica" w:hAnsi="Helvetica" w:cs="Arial"/>
          <w:sz w:val="20"/>
          <w:lang w:val="lt-LT"/>
        </w:rPr>
        <w:t>sužadina paciento imuninį atsaką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CB157F" w:rsidRPr="00BE4BA5">
        <w:rPr>
          <w:rFonts w:ascii="Helvetica" w:hAnsi="Helvetica" w:cs="Arial"/>
          <w:sz w:val="20"/>
          <w:lang w:val="lt-LT"/>
        </w:rPr>
        <w:t xml:space="preserve">imuninis atsakas yra 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efektorinių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 xml:space="preserve"> T ląstelių (</w:t>
      </w:r>
      <w:proofErr w:type="spellStart"/>
      <w:r w:rsidR="00CB157F" w:rsidRPr="00BE4BA5">
        <w:rPr>
          <w:rFonts w:ascii="Helvetica" w:hAnsi="Helvetica" w:cs="Arial"/>
          <w:sz w:val="20"/>
          <w:lang w:val="lt-LT"/>
        </w:rPr>
        <w:t>Teff</w:t>
      </w:r>
      <w:proofErr w:type="spellEnd"/>
      <w:r w:rsidR="00CB157F" w:rsidRPr="00BE4BA5">
        <w:rPr>
          <w:rFonts w:ascii="Helvetica" w:hAnsi="Helvetica" w:cs="Arial"/>
          <w:sz w:val="20"/>
          <w:lang w:val="lt-LT"/>
        </w:rPr>
        <w:t>) atsakas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Teff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CB157F" w:rsidRPr="00BE4BA5">
        <w:rPr>
          <w:rFonts w:ascii="Helvetica" w:hAnsi="Helvetica" w:cs="Arial"/>
          <w:sz w:val="20"/>
          <w:lang w:val="lt-LT"/>
        </w:rPr>
        <w:t>atsakui tarpininkauja CD8</w:t>
      </w:r>
      <w:r w:rsidR="00CB157F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CB157F" w:rsidRPr="00BE4BA5">
        <w:rPr>
          <w:rFonts w:ascii="Helvetica" w:hAnsi="Helvetica" w:cs="Arial"/>
          <w:sz w:val="20"/>
          <w:lang w:val="lt-LT"/>
        </w:rPr>
        <w:t xml:space="preserve"> T ląstelės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CB157F" w:rsidRPr="00BE4BA5">
        <w:rPr>
          <w:rFonts w:ascii="Helvetica" w:hAnsi="Helvetica" w:cs="Arial"/>
          <w:sz w:val="20"/>
          <w:lang w:val="lt-LT"/>
        </w:rPr>
        <w:t>ir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Teff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atsakas yra CD8</w:t>
      </w:r>
      <w:r w:rsidR="001A51A1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1A51A1" w:rsidRPr="00BE4BA5">
        <w:rPr>
          <w:rFonts w:ascii="Helvetica" w:hAnsi="Helvetica" w:cs="Arial"/>
          <w:sz w:val="20"/>
          <w:lang w:val="lt-LT"/>
        </w:rPr>
        <w:t xml:space="preserve"> T ląstelių skaičiaus padidėjimas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31807C46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2C4560" w14:textId="37DC8B0A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7.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1A51A1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1-5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a</w:t>
      </w:r>
      <w:r w:rsidR="005D03CF" w:rsidRPr="00BE4BA5">
        <w:rPr>
          <w:rFonts w:ascii="Helvetica" w:hAnsi="Helvetica" w:cs="Arial"/>
          <w:sz w:val="20"/>
          <w:lang w:val="lt-LT"/>
        </w:rPr>
        <w:t>ntikūnas, kuris specifiškai rišasi prie CD38</w:t>
      </w:r>
      <w:r w:rsidR="001A51A1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slopina imuninę sistemą slopinančios ląstelės funkciją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78B464AC" w14:textId="7B5BF195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a.</w:t>
      </w:r>
      <w:r w:rsidR="001A51A1" w:rsidRPr="00BE4BA5">
        <w:rPr>
          <w:rFonts w:ascii="Helvetica" w:hAnsi="Helvetica" w:cs="Arial"/>
          <w:sz w:val="20"/>
          <w:lang w:val="lt-LT"/>
        </w:rPr>
        <w:t xml:space="preserve"> imunitetą slopinanti ląstelė yra reguliacinė T ląstelė</w:t>
      </w:r>
      <w:r w:rsidRPr="00BE4BA5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),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yra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CD3</w:t>
      </w:r>
      <w:r w:rsidR="001A51A1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1A51A1" w:rsidRPr="00BE4BA5">
        <w:rPr>
          <w:rFonts w:ascii="Helvetica" w:hAnsi="Helvetica" w:cs="Arial"/>
          <w:sz w:val="20"/>
          <w:lang w:val="lt-LT"/>
        </w:rPr>
        <w:t>CD4</w:t>
      </w:r>
      <w:r w:rsidR="001A51A1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1A51A1" w:rsidRPr="00BE4BA5">
        <w:rPr>
          <w:rFonts w:ascii="Helvetica" w:hAnsi="Helvetica" w:cs="Arial"/>
          <w:sz w:val="20"/>
          <w:lang w:val="lt-LT"/>
        </w:rPr>
        <w:t>CD25</w:t>
      </w:r>
      <w:r w:rsidR="001A51A1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1A51A1" w:rsidRPr="00BE4BA5">
        <w:rPr>
          <w:rFonts w:ascii="Helvetica" w:hAnsi="Helvetica" w:cs="Arial"/>
          <w:sz w:val="20"/>
          <w:lang w:val="lt-LT"/>
        </w:rPr>
        <w:t>CD127</w:t>
      </w:r>
      <w:r w:rsidR="001A51A1" w:rsidRPr="00BE4BA5">
        <w:rPr>
          <w:rFonts w:ascii="Helvetica" w:hAnsi="Helvetica" w:cs="Arial"/>
          <w:sz w:val="20"/>
          <w:vertAlign w:val="superscript"/>
          <w:lang w:val="lt-LT"/>
        </w:rPr>
        <w:t>dim</w:t>
      </w:r>
      <w:r w:rsidRPr="00BE4BA5">
        <w:rPr>
          <w:rFonts w:ascii="Helvetica" w:hAnsi="Helvetica" w:cs="Arial"/>
          <w:sz w:val="20"/>
          <w:lang w:val="lt-LT"/>
        </w:rPr>
        <w:t xml:space="preserve"> T </w:t>
      </w:r>
      <w:r w:rsidR="001A51A1" w:rsidRPr="00BE4BA5">
        <w:rPr>
          <w:rFonts w:ascii="Helvetica" w:hAnsi="Helvetica" w:cs="Arial"/>
          <w:sz w:val="20"/>
          <w:lang w:val="lt-LT"/>
        </w:rPr>
        <w:t>ląstelė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A51A1" w:rsidRPr="00BE4BA5">
        <w:rPr>
          <w:rFonts w:ascii="Helvetica" w:hAnsi="Helvetica" w:cs="Arial"/>
          <w:sz w:val="20"/>
          <w:lang w:val="lt-LT"/>
        </w:rPr>
        <w:t>ekspresuoja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CD38,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 xml:space="preserve">funkcija yra slopinama naikinant </w:t>
      </w:r>
      <w:proofErr w:type="spellStart"/>
      <w:r w:rsidR="001A51A1"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1A51A1" w:rsidRPr="00BE4BA5">
        <w:rPr>
          <w:rFonts w:ascii="Helvetica" w:hAnsi="Helvetica" w:cs="Arial"/>
          <w:sz w:val="20"/>
          <w:lang w:val="lt-LT"/>
        </w:rPr>
        <w:t>ir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Treg</w:t>
      </w:r>
      <w:proofErr w:type="spellEnd"/>
      <w:r w:rsidR="00FE453E" w:rsidRPr="00BE4BA5">
        <w:rPr>
          <w:rFonts w:ascii="Helvetica" w:hAnsi="Helvetica" w:cs="Arial"/>
          <w:sz w:val="20"/>
          <w:lang w:val="lt-LT"/>
        </w:rPr>
        <w:t xml:space="preserve"> naikinimui tarpininkauja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nuo antikūnų priklausomas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 xml:space="preserve">ląstelių </w:t>
      </w:r>
      <w:proofErr w:type="spellStart"/>
      <w:r w:rsidR="00FE453E" w:rsidRPr="00BE4BA5">
        <w:rPr>
          <w:rFonts w:ascii="Helvetica" w:hAnsi="Helvetica" w:cs="Arial"/>
          <w:sz w:val="20"/>
          <w:lang w:val="lt-LT"/>
        </w:rPr>
        <w:t>citotoksiškumas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(ADCC); </w:t>
      </w:r>
      <w:r w:rsidR="00FE453E" w:rsidRPr="00BE4BA5">
        <w:rPr>
          <w:rFonts w:ascii="Helvetica" w:hAnsi="Helvetica" w:cs="Arial"/>
          <w:sz w:val="20"/>
          <w:lang w:val="lt-LT"/>
        </w:rPr>
        <w:t>arba</w:t>
      </w:r>
    </w:p>
    <w:p w14:paraId="47F270E0" w14:textId="21CDE13B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b. </w:t>
      </w:r>
      <w:r w:rsidR="00FE453E" w:rsidRPr="00BE4BA5">
        <w:rPr>
          <w:rFonts w:ascii="Helvetica" w:hAnsi="Helvetica" w:cs="Arial"/>
          <w:sz w:val="20"/>
          <w:lang w:val="lt-LT"/>
        </w:rPr>
        <w:t xml:space="preserve">imuninę sistemą slopinanti ląstelė yra </w:t>
      </w:r>
      <w:proofErr w:type="spellStart"/>
      <w:r w:rsidR="00FE453E" w:rsidRPr="00BE4BA5">
        <w:rPr>
          <w:rFonts w:ascii="Helvetica" w:hAnsi="Helvetica" w:cs="Arial"/>
          <w:sz w:val="20"/>
          <w:lang w:val="lt-LT"/>
        </w:rPr>
        <w:t>mieloidinės</w:t>
      </w:r>
      <w:proofErr w:type="spellEnd"/>
      <w:r w:rsidR="00FE453E" w:rsidRPr="00BE4BA5">
        <w:rPr>
          <w:rFonts w:ascii="Helvetica" w:hAnsi="Helvetica" w:cs="Arial"/>
          <w:sz w:val="20"/>
          <w:lang w:val="lt-LT"/>
        </w:rPr>
        <w:t xml:space="preserve"> kilmės slopinančioji ląstelė</w:t>
      </w:r>
      <w:r w:rsidRPr="00BE4BA5">
        <w:rPr>
          <w:rFonts w:ascii="Helvetica" w:hAnsi="Helvetica" w:cs="Arial"/>
          <w:sz w:val="20"/>
          <w:lang w:val="lt-LT"/>
        </w:rPr>
        <w:t xml:space="preserve"> (MDSC),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MDSC </w:t>
      </w:r>
      <w:r w:rsidR="00FE453E" w:rsidRPr="00BE4BA5">
        <w:rPr>
          <w:rFonts w:ascii="Helvetica" w:hAnsi="Helvetica" w:cs="Arial"/>
          <w:sz w:val="20"/>
          <w:lang w:val="lt-LT"/>
        </w:rPr>
        <w:t>yra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CD11b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HLADR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-</w:t>
      </w:r>
      <w:r w:rsidR="00FE453E" w:rsidRPr="00BE4BA5">
        <w:rPr>
          <w:rFonts w:ascii="Helvetica" w:hAnsi="Helvetica" w:cs="Arial"/>
          <w:sz w:val="20"/>
          <w:lang w:val="lt-LT"/>
        </w:rPr>
        <w:t>CD14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-</w:t>
      </w:r>
      <w:r w:rsidR="00FE453E" w:rsidRPr="00BE4BA5">
        <w:rPr>
          <w:rFonts w:ascii="Helvetica" w:hAnsi="Helvetica" w:cs="Arial"/>
          <w:sz w:val="20"/>
          <w:lang w:val="lt-LT"/>
        </w:rPr>
        <w:t>CD33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CD15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ląstelė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CD11b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HLADR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-</w:t>
      </w:r>
      <w:r w:rsidR="00FE453E" w:rsidRPr="00BE4BA5">
        <w:rPr>
          <w:rFonts w:ascii="Helvetica" w:hAnsi="Helvetica" w:cs="Arial"/>
          <w:sz w:val="20"/>
          <w:lang w:val="lt-LT"/>
        </w:rPr>
        <w:t>CD14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-</w:t>
      </w:r>
      <w:r w:rsidR="00FE453E" w:rsidRPr="00BE4BA5">
        <w:rPr>
          <w:rFonts w:ascii="Helvetica" w:hAnsi="Helvetica" w:cs="Arial"/>
          <w:sz w:val="20"/>
          <w:lang w:val="lt-LT"/>
        </w:rPr>
        <w:t>CD33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CD15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 xml:space="preserve">ląstelė </w:t>
      </w:r>
      <w:proofErr w:type="spellStart"/>
      <w:r w:rsidRPr="00BE4BA5">
        <w:rPr>
          <w:rFonts w:ascii="Helvetica" w:hAnsi="Helvetica" w:cs="Arial"/>
          <w:sz w:val="20"/>
          <w:lang w:val="lt-LT"/>
        </w:rPr>
        <w:t>e</w:t>
      </w:r>
      <w:r w:rsidR="00FE453E" w:rsidRPr="00BE4BA5">
        <w:rPr>
          <w:rFonts w:ascii="Helvetica" w:hAnsi="Helvetica" w:cs="Arial"/>
          <w:sz w:val="20"/>
          <w:lang w:val="lt-LT"/>
        </w:rPr>
        <w:t>ks</w:t>
      </w:r>
      <w:r w:rsidRPr="00BE4BA5">
        <w:rPr>
          <w:rFonts w:ascii="Helvetica" w:hAnsi="Helvetica" w:cs="Arial"/>
          <w:sz w:val="20"/>
          <w:lang w:val="lt-LT"/>
        </w:rPr>
        <w:t>pres</w:t>
      </w:r>
      <w:r w:rsidR="00FE453E" w:rsidRPr="00BE4BA5">
        <w:rPr>
          <w:rFonts w:ascii="Helvetica" w:hAnsi="Helvetica" w:cs="Arial"/>
          <w:sz w:val="20"/>
          <w:lang w:val="lt-LT"/>
        </w:rPr>
        <w:t>uoja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CD38,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MDSC </w:t>
      </w:r>
      <w:r w:rsidR="00FE453E" w:rsidRPr="00BE4BA5">
        <w:rPr>
          <w:rFonts w:ascii="Helvetica" w:hAnsi="Helvetica" w:cs="Arial"/>
          <w:sz w:val="20"/>
          <w:lang w:val="lt-LT"/>
        </w:rPr>
        <w:t>funkcija yra slopinama naikinant</w:t>
      </w:r>
      <w:r w:rsidRPr="00BE4BA5">
        <w:rPr>
          <w:rFonts w:ascii="Helvetica" w:hAnsi="Helvetica" w:cs="Arial"/>
          <w:sz w:val="20"/>
          <w:lang w:val="lt-LT"/>
        </w:rPr>
        <w:t xml:space="preserve"> MDSC, </w:t>
      </w:r>
      <w:r w:rsidR="00FE453E" w:rsidRPr="00BE4BA5">
        <w:rPr>
          <w:rFonts w:ascii="Helvetica" w:hAnsi="Helvetica" w:cs="Arial"/>
          <w:sz w:val="20"/>
          <w:lang w:val="lt-LT"/>
        </w:rPr>
        <w:t>ir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MDSC </w:t>
      </w:r>
      <w:r w:rsidR="00FE453E" w:rsidRPr="00BE4BA5">
        <w:rPr>
          <w:rFonts w:ascii="Helvetica" w:hAnsi="Helvetica" w:cs="Arial"/>
          <w:sz w:val="20"/>
          <w:lang w:val="lt-LT"/>
        </w:rPr>
        <w:t>naikinimui tarpininkauja</w:t>
      </w:r>
      <w:r w:rsidRPr="00BE4BA5">
        <w:rPr>
          <w:rFonts w:ascii="Helvetica" w:hAnsi="Helvetica" w:cs="Arial"/>
          <w:sz w:val="20"/>
          <w:lang w:val="lt-LT"/>
        </w:rPr>
        <w:t xml:space="preserve"> ADCC; </w:t>
      </w:r>
      <w:r w:rsidR="00FE453E" w:rsidRPr="00BE4BA5">
        <w:rPr>
          <w:rFonts w:ascii="Helvetica" w:hAnsi="Helvetica" w:cs="Arial"/>
          <w:sz w:val="20"/>
          <w:lang w:val="lt-LT"/>
        </w:rPr>
        <w:t>arba</w:t>
      </w:r>
    </w:p>
    <w:p w14:paraId="6998B63E" w14:textId="1A6542F0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c. </w:t>
      </w:r>
      <w:r w:rsidR="00FE453E" w:rsidRPr="00BE4BA5">
        <w:rPr>
          <w:rFonts w:ascii="Helvetica" w:hAnsi="Helvetica" w:cs="Arial"/>
          <w:sz w:val="20"/>
          <w:lang w:val="lt-LT"/>
        </w:rPr>
        <w:t>imunitetą slopinanti ląstelė yra reguliacinė B ląstelė</w:t>
      </w:r>
      <w:r w:rsidRPr="00BE4BA5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E4BA5">
        <w:rPr>
          <w:rFonts w:ascii="Helvetica" w:hAnsi="Helvetica" w:cs="Arial"/>
          <w:sz w:val="20"/>
          <w:lang w:val="lt-LT"/>
        </w:rPr>
        <w:t>Breg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),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Breg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yra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CD19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CD24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="00FE453E" w:rsidRPr="00BE4BA5">
        <w:rPr>
          <w:rFonts w:ascii="Helvetica" w:hAnsi="Helvetica" w:cs="Arial"/>
          <w:sz w:val="20"/>
          <w:lang w:val="lt-LT"/>
        </w:rPr>
        <w:t>CD38</w:t>
      </w:r>
      <w:r w:rsidR="00FE453E" w:rsidRPr="00BE4BA5">
        <w:rPr>
          <w:rFonts w:ascii="Helvetica" w:hAnsi="Helvetica" w:cs="Arial"/>
          <w:sz w:val="20"/>
          <w:vertAlign w:val="superscript"/>
          <w:lang w:val="lt-LT"/>
        </w:rPr>
        <w:t>+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ląstelė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Breg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funkcija yra slopinama naikinant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Breg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FE453E" w:rsidRPr="00BE4BA5">
        <w:rPr>
          <w:rFonts w:ascii="Helvetica" w:hAnsi="Helvetica" w:cs="Arial"/>
          <w:sz w:val="20"/>
          <w:lang w:val="lt-LT"/>
        </w:rPr>
        <w:t>ir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E4BA5">
        <w:rPr>
          <w:rFonts w:ascii="Helvetica" w:hAnsi="Helvetica" w:cs="Arial"/>
          <w:sz w:val="20"/>
          <w:lang w:val="lt-LT"/>
        </w:rPr>
        <w:t>Breg</w:t>
      </w:r>
      <w:proofErr w:type="spellEnd"/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naikinimui tarpininkauja ADCC; arba</w:t>
      </w:r>
    </w:p>
    <w:p w14:paraId="328B18DB" w14:textId="4B954DCE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d. </w:t>
      </w:r>
      <w:r w:rsidR="00FE453E" w:rsidRPr="00BE4BA5">
        <w:rPr>
          <w:rFonts w:ascii="Helvetica" w:hAnsi="Helvetica" w:cs="Arial"/>
          <w:sz w:val="20"/>
          <w:lang w:val="lt-LT"/>
        </w:rPr>
        <w:t>imunitetą slopinanti ląstelė yra periferiniame kraujyje.</w:t>
      </w:r>
    </w:p>
    <w:p w14:paraId="1D455696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1787D8" w14:textId="3892D840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8.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FE453E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1-7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a</w:t>
      </w:r>
      <w:r w:rsidR="005D03CF" w:rsidRPr="00BE4BA5">
        <w:rPr>
          <w:rFonts w:ascii="Helvetica" w:hAnsi="Helvetica" w:cs="Arial"/>
          <w:sz w:val="20"/>
          <w:lang w:val="lt-LT"/>
        </w:rPr>
        <w:t>ntikūnas, kuris specifiškai rišasi prie CD38</w:t>
      </w:r>
      <w:r w:rsidR="00FE453E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yra įvedamas derinyje su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 xml:space="preserve">antruoju terapiniu </w:t>
      </w:r>
      <w:r w:rsidRPr="00BE4BA5">
        <w:rPr>
          <w:rFonts w:ascii="Helvetica" w:hAnsi="Helvetica" w:cs="Arial"/>
          <w:sz w:val="20"/>
          <w:lang w:val="lt-LT"/>
        </w:rPr>
        <w:t>agent</w:t>
      </w:r>
      <w:r w:rsidR="00FE453E" w:rsidRPr="00BE4BA5">
        <w:rPr>
          <w:rFonts w:ascii="Helvetica" w:hAnsi="Helvetica" w:cs="Arial"/>
          <w:sz w:val="20"/>
          <w:lang w:val="lt-LT"/>
        </w:rPr>
        <w:t>u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FE453E" w:rsidRPr="00BE4BA5">
        <w:rPr>
          <w:rFonts w:ascii="Helvetica" w:hAnsi="Helvetica" w:cs="Arial"/>
          <w:sz w:val="20"/>
          <w:lang w:val="lt-LT"/>
        </w:rPr>
        <w:t>pavyzdžiui,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antrasis terapinis</w:t>
      </w:r>
      <w:r w:rsidRPr="00BE4BA5">
        <w:rPr>
          <w:rFonts w:ascii="Helvetica" w:hAnsi="Helvetica" w:cs="Arial"/>
          <w:sz w:val="20"/>
          <w:lang w:val="lt-LT"/>
        </w:rPr>
        <w:t xml:space="preserve"> agent</w:t>
      </w:r>
      <w:r w:rsidR="00FE453E" w:rsidRPr="00BE4BA5">
        <w:rPr>
          <w:rFonts w:ascii="Helvetica" w:hAnsi="Helvetica" w:cs="Arial"/>
          <w:sz w:val="20"/>
          <w:lang w:val="lt-LT"/>
        </w:rPr>
        <w:t>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E453E" w:rsidRPr="00BE4BA5">
        <w:rPr>
          <w:rFonts w:ascii="Helvetica" w:hAnsi="Helvetica" w:cs="Arial"/>
          <w:sz w:val="20"/>
          <w:lang w:val="lt-LT"/>
        </w:rPr>
        <w:t>yra</w:t>
      </w:r>
      <w:r w:rsidRPr="00BE4BA5">
        <w:rPr>
          <w:rFonts w:ascii="Helvetica" w:hAnsi="Helvetica" w:cs="Arial"/>
          <w:sz w:val="20"/>
          <w:lang w:val="lt-LT"/>
        </w:rPr>
        <w:t xml:space="preserve"> chemoterap</w:t>
      </w:r>
      <w:r w:rsidR="00FE453E" w:rsidRPr="00BE4BA5">
        <w:rPr>
          <w:rFonts w:ascii="Helvetica" w:hAnsi="Helvetica" w:cs="Arial"/>
          <w:sz w:val="20"/>
          <w:lang w:val="lt-LT"/>
        </w:rPr>
        <w:t>inis</w:t>
      </w:r>
      <w:r w:rsidRPr="00BE4BA5">
        <w:rPr>
          <w:rFonts w:ascii="Helvetica" w:hAnsi="Helvetica" w:cs="Arial"/>
          <w:sz w:val="20"/>
          <w:lang w:val="lt-LT"/>
        </w:rPr>
        <w:t xml:space="preserve"> agent</w:t>
      </w:r>
      <w:r w:rsidR="00FE453E" w:rsidRPr="00BE4BA5">
        <w:rPr>
          <w:rFonts w:ascii="Helvetica" w:hAnsi="Helvetica" w:cs="Arial"/>
          <w:sz w:val="20"/>
          <w:lang w:val="lt-LT"/>
        </w:rPr>
        <w:t>as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61367A" w:rsidRPr="00BE4BA5">
        <w:rPr>
          <w:rFonts w:ascii="Helvetica" w:hAnsi="Helvetica" w:cs="Arial"/>
          <w:sz w:val="20"/>
          <w:lang w:val="lt-LT"/>
        </w:rPr>
        <w:t>tikslinė priešvėžinė terapija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61367A" w:rsidRPr="00BE4BA5">
        <w:rPr>
          <w:rFonts w:ascii="Helvetica" w:hAnsi="Helvetica" w:cs="Arial"/>
          <w:sz w:val="20"/>
          <w:lang w:val="lt-LT"/>
        </w:rPr>
        <w:t xml:space="preserve">standartinis </w:t>
      </w:r>
      <w:proofErr w:type="spellStart"/>
      <w:r w:rsidR="0061367A" w:rsidRPr="00BE4BA5">
        <w:rPr>
          <w:rFonts w:ascii="Helvetica" w:hAnsi="Helvetica" w:cs="Arial"/>
          <w:sz w:val="20"/>
          <w:lang w:val="lt-LT"/>
        </w:rPr>
        <w:t>solidinių</w:t>
      </w:r>
      <w:proofErr w:type="spellEnd"/>
      <w:r w:rsidR="0061367A" w:rsidRPr="00BE4BA5">
        <w:rPr>
          <w:rFonts w:ascii="Helvetica" w:hAnsi="Helvetica" w:cs="Arial"/>
          <w:sz w:val="20"/>
          <w:lang w:val="lt-LT"/>
        </w:rPr>
        <w:t xml:space="preserve"> navikų gydymo vaistas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arba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imuninės kontrolės taško inhibitorius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09C32AA9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4849EC" w14:textId="5380A825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lastRenderedPageBreak/>
        <w:t xml:space="preserve">9.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skirtas panaudoti pagal</w:t>
      </w:r>
      <w:r w:rsidRPr="00BE4BA5">
        <w:rPr>
          <w:rFonts w:ascii="Helvetica" w:hAnsi="Helvetica" w:cs="Arial"/>
          <w:sz w:val="20"/>
          <w:lang w:val="lt-LT"/>
        </w:rPr>
        <w:t xml:space="preserve"> 8</w:t>
      </w:r>
      <w:r w:rsidR="0061367A" w:rsidRPr="00BE4BA5">
        <w:rPr>
          <w:rFonts w:ascii="Helvetica" w:hAnsi="Helvetica" w:cs="Arial"/>
          <w:sz w:val="20"/>
          <w:lang w:val="lt-LT"/>
        </w:rPr>
        <w:t xml:space="preserve"> punktą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imuninės kontrolės taško inhibitorius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yra</w:t>
      </w:r>
      <w:r w:rsidRPr="00BE4BA5">
        <w:rPr>
          <w:rFonts w:ascii="Helvetica" w:hAnsi="Helvetica" w:cs="Arial"/>
          <w:sz w:val="20"/>
          <w:lang w:val="lt-LT"/>
        </w:rPr>
        <w:t xml:space="preserve"> anti-PD-1 a</w:t>
      </w:r>
      <w:r w:rsidR="0061367A" w:rsidRPr="00BE4BA5">
        <w:rPr>
          <w:rFonts w:ascii="Helvetica" w:hAnsi="Helvetica" w:cs="Arial"/>
          <w:sz w:val="20"/>
          <w:lang w:val="lt-LT"/>
        </w:rPr>
        <w:t>ntikūnas</w:t>
      </w:r>
      <w:r w:rsidRPr="00BE4BA5">
        <w:rPr>
          <w:rFonts w:ascii="Helvetica" w:hAnsi="Helvetica" w:cs="Arial"/>
          <w:sz w:val="20"/>
          <w:lang w:val="lt-LT"/>
        </w:rPr>
        <w:t>, anti-PD-L1 a</w:t>
      </w:r>
      <w:r w:rsidR="0061367A" w:rsidRPr="00BE4BA5">
        <w:rPr>
          <w:rFonts w:ascii="Helvetica" w:hAnsi="Helvetica" w:cs="Arial"/>
          <w:sz w:val="20"/>
          <w:lang w:val="lt-LT"/>
        </w:rPr>
        <w:t>ntikūnas</w:t>
      </w:r>
      <w:r w:rsidRPr="00BE4BA5">
        <w:rPr>
          <w:rFonts w:ascii="Helvetica" w:hAnsi="Helvetica" w:cs="Arial"/>
          <w:sz w:val="20"/>
          <w:lang w:val="lt-LT"/>
        </w:rPr>
        <w:t>, anti-PD-L2 a</w:t>
      </w:r>
      <w:r w:rsidR="0061367A" w:rsidRPr="00BE4BA5">
        <w:rPr>
          <w:rFonts w:ascii="Helvetica" w:hAnsi="Helvetica" w:cs="Arial"/>
          <w:sz w:val="20"/>
          <w:lang w:val="lt-LT"/>
        </w:rPr>
        <w:t>ntikūnas</w:t>
      </w:r>
      <w:r w:rsidRPr="00BE4BA5">
        <w:rPr>
          <w:rFonts w:ascii="Helvetica" w:hAnsi="Helvetica" w:cs="Arial"/>
          <w:sz w:val="20"/>
          <w:lang w:val="lt-LT"/>
        </w:rPr>
        <w:t>, anti-LAG3 a</w:t>
      </w:r>
      <w:r w:rsidR="0061367A" w:rsidRPr="00BE4BA5">
        <w:rPr>
          <w:rFonts w:ascii="Helvetica" w:hAnsi="Helvetica" w:cs="Arial"/>
          <w:sz w:val="20"/>
          <w:lang w:val="lt-LT"/>
        </w:rPr>
        <w:t>ntikūnas</w:t>
      </w:r>
      <w:r w:rsidRPr="00BE4BA5">
        <w:rPr>
          <w:rFonts w:ascii="Helvetica" w:hAnsi="Helvetica" w:cs="Arial"/>
          <w:sz w:val="20"/>
          <w:lang w:val="lt-LT"/>
        </w:rPr>
        <w:t xml:space="preserve">, anti-TIM3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arba</w:t>
      </w:r>
      <w:r w:rsidRPr="00BE4BA5">
        <w:rPr>
          <w:rFonts w:ascii="Helvetica" w:hAnsi="Helvetica" w:cs="Arial"/>
          <w:sz w:val="20"/>
          <w:lang w:val="lt-LT"/>
        </w:rPr>
        <w:t xml:space="preserve"> anti-CTLA-4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3348A2E0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9D3170" w14:textId="18ABEF65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10.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skirtas panaudoti pagal</w:t>
      </w:r>
      <w:r w:rsidRPr="00BE4BA5">
        <w:rPr>
          <w:rFonts w:ascii="Helvetica" w:hAnsi="Helvetica" w:cs="Arial"/>
          <w:sz w:val="20"/>
          <w:lang w:val="lt-LT"/>
        </w:rPr>
        <w:t xml:space="preserve"> 9</w:t>
      </w:r>
      <w:r w:rsidR="0061367A" w:rsidRPr="00BE4BA5">
        <w:rPr>
          <w:rFonts w:ascii="Helvetica" w:hAnsi="Helvetica" w:cs="Arial"/>
          <w:sz w:val="20"/>
          <w:lang w:val="lt-LT"/>
        </w:rPr>
        <w:t xml:space="preserve"> punktą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0FD54CED" w14:textId="76EF977A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a. </w:t>
      </w:r>
      <w:r w:rsidR="0061367A" w:rsidRPr="00BE4BA5">
        <w:rPr>
          <w:rFonts w:ascii="Helvetica" w:hAnsi="Helvetica" w:cs="Arial"/>
          <w:sz w:val="20"/>
          <w:lang w:val="lt-LT"/>
        </w:rPr>
        <w:t>imuninės kontrolės taško inhibitorius yra</w:t>
      </w:r>
      <w:r w:rsidRPr="00BE4BA5">
        <w:rPr>
          <w:rFonts w:ascii="Helvetica" w:hAnsi="Helvetica" w:cs="Arial"/>
          <w:sz w:val="20"/>
          <w:lang w:val="lt-LT"/>
        </w:rPr>
        <w:t xml:space="preserve"> anti-PD-1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61367A" w:rsidRPr="00BE4BA5">
        <w:rPr>
          <w:rFonts w:ascii="Helvetica" w:hAnsi="Helvetica" w:cs="Arial"/>
          <w:sz w:val="20"/>
          <w:lang w:val="lt-LT"/>
        </w:rPr>
        <w:t>pasirinktinai,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anti-PD-1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apima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4014D830" w14:textId="6F8E3439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i. VH</w:t>
      </w:r>
      <w:r w:rsidR="0061367A" w:rsidRPr="00BE4BA5">
        <w:rPr>
          <w:rFonts w:ascii="Helvetica" w:hAnsi="Helvetica" w:cs="Arial"/>
          <w:sz w:val="20"/>
          <w:lang w:val="lt-LT"/>
        </w:rPr>
        <w:t>, kurio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22</w:t>
      </w:r>
      <w:r w:rsidR="0061367A" w:rsidRPr="00BE4BA5">
        <w:rPr>
          <w:rFonts w:ascii="Helvetica" w:hAnsi="Helvetica" w:cs="Arial"/>
          <w:sz w:val="20"/>
          <w:lang w:val="lt-LT"/>
        </w:rPr>
        <w:t xml:space="preserve">,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23;</w:t>
      </w:r>
    </w:p>
    <w:p w14:paraId="439851D7" w14:textId="54C4E272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ii. VH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24</w:t>
      </w:r>
      <w:r w:rsidR="0061367A" w:rsidRPr="00BE4BA5">
        <w:rPr>
          <w:rFonts w:ascii="Helvetica" w:hAnsi="Helvetica" w:cs="Arial"/>
          <w:sz w:val="20"/>
          <w:lang w:val="lt-LT"/>
        </w:rPr>
        <w:t xml:space="preserve">,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25;</w:t>
      </w:r>
    </w:p>
    <w:p w14:paraId="20AE9943" w14:textId="183231DF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iii. VH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32</w:t>
      </w:r>
      <w:r w:rsidR="0061367A" w:rsidRPr="00BE4BA5">
        <w:rPr>
          <w:rFonts w:ascii="Helvetica" w:hAnsi="Helvetica" w:cs="Arial"/>
          <w:sz w:val="20"/>
          <w:lang w:val="lt-LT"/>
        </w:rPr>
        <w:t xml:space="preserve">,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33; </w:t>
      </w:r>
      <w:r w:rsidR="0061367A" w:rsidRPr="00BE4BA5">
        <w:rPr>
          <w:rFonts w:ascii="Helvetica" w:hAnsi="Helvetica" w:cs="Arial"/>
          <w:sz w:val="20"/>
          <w:lang w:val="lt-LT"/>
        </w:rPr>
        <w:t>arba</w:t>
      </w:r>
    </w:p>
    <w:p w14:paraId="09D869FB" w14:textId="4A48943A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iv. VH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34</w:t>
      </w:r>
      <w:r w:rsidR="0061367A" w:rsidRPr="00BE4BA5">
        <w:rPr>
          <w:rFonts w:ascii="Helvetica" w:hAnsi="Helvetica" w:cs="Arial"/>
          <w:sz w:val="20"/>
          <w:lang w:val="lt-LT"/>
        </w:rPr>
        <w:t xml:space="preserve">,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35; </w:t>
      </w:r>
      <w:r w:rsidR="0061367A" w:rsidRPr="00BE4BA5">
        <w:rPr>
          <w:rFonts w:ascii="Helvetica" w:hAnsi="Helvetica" w:cs="Arial"/>
          <w:sz w:val="20"/>
          <w:lang w:val="lt-LT"/>
        </w:rPr>
        <w:t>arba</w:t>
      </w:r>
    </w:p>
    <w:p w14:paraId="4B9FE75C" w14:textId="7A34F4C6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b. </w:t>
      </w:r>
      <w:r w:rsidR="00ED3ADC" w:rsidRPr="00BE4BA5">
        <w:rPr>
          <w:rFonts w:ascii="Helvetica" w:hAnsi="Helvetica" w:cs="Arial"/>
          <w:sz w:val="20"/>
          <w:lang w:val="lt-LT"/>
        </w:rPr>
        <w:t>imuninės kontrolės taško inhibitorius yra</w:t>
      </w:r>
      <w:r w:rsidRPr="00BE4BA5">
        <w:rPr>
          <w:rFonts w:ascii="Helvetica" w:hAnsi="Helvetica" w:cs="Arial"/>
          <w:sz w:val="20"/>
          <w:lang w:val="lt-LT"/>
        </w:rPr>
        <w:t xml:space="preserve"> anti-PD-L1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ED3ADC" w:rsidRPr="00BE4BA5">
        <w:rPr>
          <w:rFonts w:ascii="Helvetica" w:hAnsi="Helvetica" w:cs="Arial"/>
          <w:sz w:val="20"/>
          <w:lang w:val="lt-LT"/>
        </w:rPr>
        <w:t>pasirinktinai,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anti-PD-L1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apima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2F696DE0" w14:textId="05A1A9EF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i. VH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26</w:t>
      </w:r>
      <w:r w:rsidR="0061367A" w:rsidRPr="00BE4BA5">
        <w:rPr>
          <w:rFonts w:ascii="Helvetica" w:hAnsi="Helvetica" w:cs="Arial"/>
          <w:sz w:val="20"/>
          <w:lang w:val="lt-LT"/>
        </w:rPr>
        <w:t xml:space="preserve">,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27;</w:t>
      </w:r>
    </w:p>
    <w:p w14:paraId="3E7E6166" w14:textId="74C3735E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ii. VH</w:t>
      </w:r>
      <w:r w:rsidR="0061367A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="0061367A" w:rsidRPr="00BE4BA5">
        <w:rPr>
          <w:rFonts w:ascii="Helvetica" w:hAnsi="Helvetica" w:cs="Arial"/>
          <w:sz w:val="20"/>
          <w:lang w:val="lt-LT"/>
        </w:rPr>
        <w:t xml:space="preserve">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29; </w:t>
      </w:r>
      <w:r w:rsidR="00ED3ADC" w:rsidRPr="00BE4BA5">
        <w:rPr>
          <w:rFonts w:ascii="Helvetica" w:hAnsi="Helvetica" w:cs="Arial"/>
          <w:sz w:val="20"/>
          <w:lang w:val="lt-LT"/>
        </w:rPr>
        <w:t>arba</w:t>
      </w:r>
    </w:p>
    <w:p w14:paraId="5D8A3A09" w14:textId="13C23FB2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iii. VH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30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="0061367A" w:rsidRPr="00BE4BA5">
        <w:rPr>
          <w:rFonts w:ascii="Helvetica" w:hAnsi="Helvetica" w:cs="Arial"/>
          <w:sz w:val="20"/>
          <w:lang w:val="lt-LT"/>
        </w:rPr>
        <w:t xml:space="preserve">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 xml:space="preserve">kurio seka </w:t>
      </w:r>
      <w:r w:rsidRPr="00BE4BA5">
        <w:rPr>
          <w:rFonts w:ascii="Helvetica" w:hAnsi="Helvetica" w:cs="Arial"/>
          <w:sz w:val="20"/>
          <w:lang w:val="lt-LT"/>
        </w:rPr>
        <w:t xml:space="preserve">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31; </w:t>
      </w:r>
      <w:r w:rsidR="00ED3ADC" w:rsidRPr="00BE4BA5">
        <w:rPr>
          <w:rFonts w:ascii="Helvetica" w:hAnsi="Helvetica" w:cs="Arial"/>
          <w:sz w:val="20"/>
          <w:lang w:val="lt-LT"/>
        </w:rPr>
        <w:t>arba</w:t>
      </w:r>
    </w:p>
    <w:p w14:paraId="536F2371" w14:textId="622F18A4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c. </w:t>
      </w:r>
      <w:r w:rsidR="00ED3ADC" w:rsidRPr="00BE4BA5">
        <w:rPr>
          <w:rFonts w:ascii="Helvetica" w:hAnsi="Helvetica" w:cs="Arial"/>
          <w:sz w:val="20"/>
          <w:lang w:val="lt-LT"/>
        </w:rPr>
        <w:t>imuninės kontrolės taško inhibitorius yra</w:t>
      </w:r>
      <w:r w:rsidRPr="00BE4BA5">
        <w:rPr>
          <w:rFonts w:ascii="Helvetica" w:hAnsi="Helvetica" w:cs="Arial"/>
          <w:sz w:val="20"/>
          <w:lang w:val="lt-LT"/>
        </w:rPr>
        <w:t xml:space="preserve"> anti-PD-L2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; </w:t>
      </w:r>
      <w:r w:rsidR="00ED3ADC" w:rsidRPr="00BE4BA5">
        <w:rPr>
          <w:rFonts w:ascii="Helvetica" w:hAnsi="Helvetica" w:cs="Arial"/>
          <w:sz w:val="20"/>
          <w:lang w:val="lt-LT"/>
        </w:rPr>
        <w:t>arba</w:t>
      </w:r>
    </w:p>
    <w:p w14:paraId="0C85229B" w14:textId="4EAE50D4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d. </w:t>
      </w:r>
      <w:r w:rsidR="00ED3ADC" w:rsidRPr="00BE4BA5">
        <w:rPr>
          <w:rFonts w:ascii="Helvetica" w:hAnsi="Helvetica" w:cs="Arial"/>
          <w:sz w:val="20"/>
          <w:lang w:val="lt-LT"/>
        </w:rPr>
        <w:t>imuninės kontrolės taško inhibitorius yra</w:t>
      </w:r>
      <w:r w:rsidRPr="00BE4BA5">
        <w:rPr>
          <w:rFonts w:ascii="Helvetica" w:hAnsi="Helvetica" w:cs="Arial"/>
          <w:sz w:val="20"/>
          <w:lang w:val="lt-LT"/>
        </w:rPr>
        <w:t xml:space="preserve"> anti-LAG3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; </w:t>
      </w:r>
      <w:r w:rsidR="00ED3ADC" w:rsidRPr="00BE4BA5">
        <w:rPr>
          <w:rFonts w:ascii="Helvetica" w:hAnsi="Helvetica" w:cs="Arial"/>
          <w:sz w:val="20"/>
          <w:lang w:val="lt-LT"/>
        </w:rPr>
        <w:t>arba</w:t>
      </w:r>
    </w:p>
    <w:p w14:paraId="4C495630" w14:textId="65F783ED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e. </w:t>
      </w:r>
      <w:r w:rsidR="00ED3ADC" w:rsidRPr="00BE4BA5">
        <w:rPr>
          <w:rFonts w:ascii="Helvetica" w:hAnsi="Helvetica" w:cs="Arial"/>
          <w:sz w:val="20"/>
          <w:lang w:val="lt-LT"/>
        </w:rPr>
        <w:t>imuninės kontrolės taško inhibitorius yra</w:t>
      </w:r>
      <w:r w:rsidRPr="00BE4BA5">
        <w:rPr>
          <w:rFonts w:ascii="Helvetica" w:hAnsi="Helvetica" w:cs="Arial"/>
          <w:sz w:val="20"/>
          <w:lang w:val="lt-LT"/>
        </w:rPr>
        <w:t xml:space="preserve"> anti-TIM-3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; </w:t>
      </w:r>
      <w:r w:rsidR="00ED3ADC" w:rsidRPr="00BE4BA5">
        <w:rPr>
          <w:rFonts w:ascii="Helvetica" w:hAnsi="Helvetica" w:cs="Arial"/>
          <w:sz w:val="20"/>
          <w:lang w:val="lt-LT"/>
        </w:rPr>
        <w:t>pasirinktinai,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anti-TIM-3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apima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1E228555" w14:textId="2DD206AE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i. VH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 xml:space="preserve">kurio seka </w:t>
      </w:r>
      <w:r w:rsidRPr="00BE4BA5">
        <w:rPr>
          <w:rFonts w:ascii="Helvetica" w:hAnsi="Helvetica" w:cs="Arial"/>
          <w:sz w:val="20"/>
          <w:lang w:val="lt-LT"/>
        </w:rPr>
        <w:t xml:space="preserve">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36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="0061367A" w:rsidRPr="00BE4BA5">
        <w:rPr>
          <w:rFonts w:ascii="Helvetica" w:hAnsi="Helvetica" w:cs="Arial"/>
          <w:sz w:val="20"/>
          <w:lang w:val="lt-LT"/>
        </w:rPr>
        <w:t xml:space="preserve">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37; </w:t>
      </w:r>
      <w:r w:rsidR="00ED3ADC" w:rsidRPr="00BE4BA5">
        <w:rPr>
          <w:rFonts w:ascii="Helvetica" w:hAnsi="Helvetica" w:cs="Arial"/>
          <w:sz w:val="20"/>
          <w:lang w:val="lt-LT"/>
        </w:rPr>
        <w:t>arba</w:t>
      </w:r>
    </w:p>
    <w:p w14:paraId="1A54D0F5" w14:textId="26CAC39F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ii. VH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="0061367A" w:rsidRPr="00BE4BA5">
        <w:rPr>
          <w:rFonts w:ascii="Helvetica" w:hAnsi="Helvetica" w:cs="Arial"/>
          <w:sz w:val="20"/>
          <w:lang w:val="lt-LT"/>
        </w:rPr>
        <w:t xml:space="preserve"> ir </w:t>
      </w:r>
      <w:r w:rsidRPr="00BE4BA5">
        <w:rPr>
          <w:rFonts w:ascii="Helvetica" w:hAnsi="Helvetica" w:cs="Arial"/>
          <w:sz w:val="20"/>
          <w:lang w:val="lt-LT"/>
        </w:rPr>
        <w:t>VL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kurio seka</w:t>
      </w:r>
      <w:r w:rsidRPr="00BE4BA5">
        <w:rPr>
          <w:rFonts w:ascii="Helvetica" w:hAnsi="Helvetica" w:cs="Arial"/>
          <w:sz w:val="20"/>
          <w:lang w:val="lt-LT"/>
        </w:rPr>
        <w:t xml:space="preserve"> SEQ ID </w:t>
      </w:r>
      <w:r w:rsidR="0061367A" w:rsidRPr="00BE4BA5">
        <w:rPr>
          <w:rFonts w:ascii="Helvetica" w:hAnsi="Helvetica" w:cs="Arial"/>
          <w:sz w:val="20"/>
          <w:lang w:val="lt-LT"/>
        </w:rPr>
        <w:t>Nr.</w:t>
      </w:r>
      <w:r w:rsidRPr="00BE4BA5">
        <w:rPr>
          <w:rFonts w:ascii="Helvetica" w:hAnsi="Helvetica" w:cs="Arial"/>
          <w:sz w:val="20"/>
          <w:lang w:val="lt-LT"/>
        </w:rPr>
        <w:t xml:space="preserve"> 39.</w:t>
      </w:r>
    </w:p>
    <w:p w14:paraId="42E107AB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EFFB98" w14:textId="0CEC739E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11.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F31B9E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8-10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antrasis terapinis agentas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yra įvedamas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vienu metu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ED3ADC" w:rsidRPr="00BE4BA5">
        <w:rPr>
          <w:rFonts w:ascii="Helvetica" w:hAnsi="Helvetica" w:cs="Arial"/>
          <w:sz w:val="20"/>
          <w:lang w:val="lt-LT"/>
        </w:rPr>
        <w:t>nuosekliai arba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atskirai</w:t>
      </w:r>
      <w:r w:rsidRPr="00BE4BA5">
        <w:rPr>
          <w:rFonts w:ascii="Helvetica" w:hAnsi="Helvetica" w:cs="Arial"/>
          <w:sz w:val="20"/>
          <w:lang w:val="lt-LT"/>
        </w:rPr>
        <w:t>.</w:t>
      </w:r>
    </w:p>
    <w:p w14:paraId="0A93D335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1A5BB0" w14:textId="661C380F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12.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1-11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>,</w:t>
      </w:r>
    </w:p>
    <w:p w14:paraId="623C5B0F" w14:textId="54D3EA9B" w:rsidR="00FB0022" w:rsidRPr="00BE4BA5" w:rsidRDefault="005D03CF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kur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a</w:t>
      </w:r>
      <w:r w:rsidRPr="00BE4BA5">
        <w:rPr>
          <w:rFonts w:ascii="Helvetica" w:hAnsi="Helvetica" w:cs="Arial"/>
          <w:sz w:val="20"/>
          <w:lang w:val="lt-LT"/>
        </w:rPr>
        <w:t>ntikūnas, kuris specifiškai rišasi prie CD38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yra įvedamas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D3ADC" w:rsidRPr="00BE4BA5">
        <w:rPr>
          <w:rFonts w:ascii="Helvetica" w:hAnsi="Helvetica" w:cs="Arial"/>
          <w:sz w:val="20"/>
          <w:lang w:val="lt-LT"/>
        </w:rPr>
        <w:t>parenteraliai</w:t>
      </w:r>
      <w:proofErr w:type="spellEnd"/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infuzijos į veną arba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B0022" w:rsidRPr="00BE4BA5">
        <w:rPr>
          <w:rFonts w:ascii="Helvetica" w:hAnsi="Helvetica" w:cs="Arial"/>
          <w:sz w:val="20"/>
          <w:lang w:val="lt-LT"/>
        </w:rPr>
        <w:t>bolus</w:t>
      </w:r>
      <w:r w:rsidR="00ED3ADC" w:rsidRPr="00BE4BA5">
        <w:rPr>
          <w:rFonts w:ascii="Helvetica" w:hAnsi="Helvetica" w:cs="Arial"/>
          <w:sz w:val="20"/>
          <w:lang w:val="lt-LT"/>
        </w:rPr>
        <w:t>inės</w:t>
      </w:r>
      <w:proofErr w:type="spellEnd"/>
      <w:r w:rsidR="00FB0022" w:rsidRPr="00BE4BA5">
        <w:rPr>
          <w:rFonts w:ascii="Helvetica" w:hAnsi="Helvetica" w:cs="Arial"/>
          <w:sz w:val="20"/>
          <w:lang w:val="lt-LT"/>
        </w:rPr>
        <w:t xml:space="preserve"> inje</w:t>
      </w:r>
      <w:r w:rsidR="00ED3ADC" w:rsidRPr="00BE4BA5">
        <w:rPr>
          <w:rFonts w:ascii="Helvetica" w:hAnsi="Helvetica" w:cs="Arial"/>
          <w:sz w:val="20"/>
          <w:lang w:val="lt-LT"/>
        </w:rPr>
        <w:t>kcijos būdu</w:t>
      </w:r>
      <w:r w:rsidR="00FB0022" w:rsidRPr="00BE4BA5">
        <w:rPr>
          <w:rFonts w:ascii="Helvetica" w:hAnsi="Helvetica" w:cs="Arial"/>
          <w:sz w:val="20"/>
          <w:lang w:val="lt-LT"/>
        </w:rPr>
        <w:t xml:space="preserve">, </w:t>
      </w:r>
      <w:r w:rsidR="00ED3ADC" w:rsidRPr="00BE4BA5">
        <w:rPr>
          <w:rFonts w:ascii="Helvetica" w:hAnsi="Helvetica" w:cs="Arial"/>
          <w:sz w:val="20"/>
          <w:lang w:val="lt-LT"/>
        </w:rPr>
        <w:t>į raumenis</w:t>
      </w:r>
      <w:r w:rsidR="00FB0022" w:rsidRPr="00BE4BA5">
        <w:rPr>
          <w:rFonts w:ascii="Helvetica" w:hAnsi="Helvetica" w:cs="Arial"/>
          <w:sz w:val="20"/>
          <w:lang w:val="lt-LT"/>
        </w:rPr>
        <w:t xml:space="preserve">, </w:t>
      </w:r>
      <w:r w:rsidR="00ED3ADC" w:rsidRPr="00BE4BA5">
        <w:rPr>
          <w:rFonts w:ascii="Helvetica" w:hAnsi="Helvetica" w:cs="Arial"/>
          <w:sz w:val="20"/>
          <w:lang w:val="lt-LT"/>
        </w:rPr>
        <w:t>po oda arba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ED3ADC" w:rsidRPr="00BE4BA5">
        <w:rPr>
          <w:rFonts w:ascii="Helvetica" w:hAnsi="Helvetica" w:cs="Arial"/>
          <w:sz w:val="20"/>
          <w:lang w:val="lt-LT"/>
        </w:rPr>
        <w:t>į pilvaplėvę</w:t>
      </w:r>
      <w:r w:rsidR="00FB0022" w:rsidRPr="00BE4BA5">
        <w:rPr>
          <w:rFonts w:ascii="Helvetica" w:hAnsi="Helvetica" w:cs="Arial"/>
          <w:sz w:val="20"/>
          <w:lang w:val="lt-LT"/>
        </w:rPr>
        <w:t>.</w:t>
      </w:r>
    </w:p>
    <w:p w14:paraId="407E2C69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7A8971" w14:textId="60DC1B3E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13.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ED3ADC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1-12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>,</w:t>
      </w:r>
    </w:p>
    <w:p w14:paraId="4EF790F6" w14:textId="1696BA1D" w:rsidR="00FB0022" w:rsidRPr="00BE4BA5" w:rsidRDefault="005D03CF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kur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61367A" w:rsidRPr="00BE4BA5">
        <w:rPr>
          <w:rFonts w:ascii="Helvetica" w:hAnsi="Helvetica" w:cs="Arial"/>
          <w:sz w:val="20"/>
          <w:lang w:val="lt-LT"/>
        </w:rPr>
        <w:t>antikūnas</w:t>
      </w:r>
      <w:r w:rsidRPr="00BE4BA5">
        <w:rPr>
          <w:rFonts w:ascii="Helvetica" w:hAnsi="Helvetica" w:cs="Arial"/>
          <w:sz w:val="20"/>
          <w:lang w:val="lt-LT"/>
        </w:rPr>
        <w:t>, kuris specifiškai rišasi prie CD38</w:t>
      </w:r>
      <w:r w:rsidR="006747C7" w:rsidRPr="00BE4BA5">
        <w:rPr>
          <w:rFonts w:ascii="Helvetica" w:hAnsi="Helvetica" w:cs="Arial"/>
          <w:sz w:val="20"/>
          <w:lang w:val="lt-LT"/>
        </w:rPr>
        <w:t>,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6747C7" w:rsidRPr="00BE4BA5">
        <w:rPr>
          <w:rFonts w:ascii="Helvetica" w:hAnsi="Helvetica" w:cs="Arial"/>
          <w:sz w:val="20"/>
          <w:lang w:val="lt-LT"/>
        </w:rPr>
        <w:t>yra įvedamas į veną</w:t>
      </w:r>
      <w:r w:rsidR="00FB0022" w:rsidRPr="00BE4BA5">
        <w:rPr>
          <w:rFonts w:ascii="Helvetica" w:hAnsi="Helvetica" w:cs="Arial"/>
          <w:sz w:val="20"/>
          <w:lang w:val="lt-LT"/>
        </w:rPr>
        <w:t>.</w:t>
      </w:r>
    </w:p>
    <w:p w14:paraId="0A811034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573E69" w14:textId="2F6EA4C1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14.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6747C7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skirtas panaudoti pagal bet kurį iš</w:t>
      </w:r>
      <w:r w:rsidRPr="00BE4BA5">
        <w:rPr>
          <w:rFonts w:ascii="Helvetica" w:hAnsi="Helvetica" w:cs="Arial"/>
          <w:sz w:val="20"/>
          <w:lang w:val="lt-LT"/>
        </w:rPr>
        <w:t xml:space="preserve"> 1-12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>,</w:t>
      </w:r>
    </w:p>
    <w:p w14:paraId="7201F95D" w14:textId="3D011E67" w:rsidR="00FB0022" w:rsidRPr="00BE4BA5" w:rsidRDefault="005D03CF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>kur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>a</w:t>
      </w:r>
      <w:r w:rsidRPr="00BE4BA5">
        <w:rPr>
          <w:rFonts w:ascii="Helvetica" w:hAnsi="Helvetica" w:cs="Arial"/>
          <w:sz w:val="20"/>
          <w:lang w:val="lt-LT"/>
        </w:rPr>
        <w:t>ntikūnas, kuris specifiškai rišasi prie CD38</w:t>
      </w:r>
      <w:r w:rsidR="006747C7" w:rsidRPr="00BE4BA5">
        <w:rPr>
          <w:rFonts w:ascii="Helvetica" w:hAnsi="Helvetica" w:cs="Arial"/>
          <w:sz w:val="20"/>
          <w:lang w:val="lt-LT"/>
        </w:rPr>
        <w:t>,</w:t>
      </w:r>
      <w:r w:rsidR="00FB0022" w:rsidRPr="00BE4BA5">
        <w:rPr>
          <w:rFonts w:ascii="Helvetica" w:hAnsi="Helvetica" w:cs="Arial"/>
          <w:sz w:val="20"/>
          <w:lang w:val="lt-LT"/>
        </w:rPr>
        <w:t xml:space="preserve"> </w:t>
      </w:r>
      <w:r w:rsidR="006747C7" w:rsidRPr="00BE4BA5">
        <w:rPr>
          <w:rFonts w:ascii="Helvetica" w:hAnsi="Helvetica" w:cs="Arial"/>
          <w:sz w:val="20"/>
          <w:lang w:val="lt-LT"/>
        </w:rPr>
        <w:t>yra įvedamas po oda</w:t>
      </w:r>
      <w:r w:rsidR="00FB0022" w:rsidRPr="00BE4BA5">
        <w:rPr>
          <w:rFonts w:ascii="Helvetica" w:hAnsi="Helvetica" w:cs="Arial"/>
          <w:sz w:val="20"/>
          <w:lang w:val="lt-LT"/>
        </w:rPr>
        <w:t>.</w:t>
      </w:r>
    </w:p>
    <w:p w14:paraId="50C85FF7" w14:textId="77777777" w:rsidR="00FB0022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16783F" w14:textId="6EF81CAC" w:rsidR="00FB0022" w:rsidRPr="00BE4BA5" w:rsidRDefault="00FB0022" w:rsidP="00BE4B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15. </w:t>
      </w:r>
      <w:r w:rsidR="005D03CF" w:rsidRPr="00BE4BA5">
        <w:rPr>
          <w:rFonts w:ascii="Helvetica" w:hAnsi="Helvetica" w:cs="Arial"/>
          <w:sz w:val="20"/>
          <w:lang w:val="lt-LT"/>
        </w:rPr>
        <w:t>Antikūnas, kuris specifiškai rišasi prie CD38</w:t>
      </w:r>
      <w:r w:rsidR="006747C7" w:rsidRPr="00BE4BA5">
        <w:rPr>
          <w:rFonts w:ascii="Helvetica" w:hAnsi="Helvetica" w:cs="Arial"/>
          <w:sz w:val="20"/>
          <w:lang w:val="lt-LT"/>
        </w:rPr>
        <w:t>,</w:t>
      </w:r>
      <w:r w:rsidRPr="00BE4BA5">
        <w:rPr>
          <w:rFonts w:ascii="Helvetica" w:hAnsi="Helvetica" w:cs="Arial"/>
          <w:sz w:val="20"/>
          <w:lang w:val="lt-LT"/>
        </w:rPr>
        <w:t xml:space="preserve"> </w:t>
      </w:r>
      <w:r w:rsidR="001A51A1" w:rsidRPr="00BE4BA5">
        <w:rPr>
          <w:rFonts w:ascii="Helvetica" w:hAnsi="Helvetica" w:cs="Arial"/>
          <w:sz w:val="20"/>
          <w:lang w:val="lt-LT"/>
        </w:rPr>
        <w:t xml:space="preserve">skirtas panaudoti pagal bet kurį iš </w:t>
      </w:r>
      <w:r w:rsidRPr="00BE4BA5">
        <w:rPr>
          <w:rFonts w:ascii="Helvetica" w:hAnsi="Helvetica" w:cs="Arial"/>
          <w:sz w:val="20"/>
          <w:lang w:val="lt-LT"/>
        </w:rPr>
        <w:t>1-14</w:t>
      </w:r>
      <w:r w:rsidR="001A51A1" w:rsidRPr="00BE4BA5">
        <w:rPr>
          <w:rFonts w:ascii="Helvetica" w:hAnsi="Helvetica" w:cs="Arial"/>
          <w:sz w:val="20"/>
          <w:lang w:val="lt-LT"/>
        </w:rPr>
        <w:t xml:space="preserve"> punktų</w:t>
      </w:r>
      <w:r w:rsidRPr="00BE4BA5">
        <w:rPr>
          <w:rFonts w:ascii="Helvetica" w:hAnsi="Helvetica" w:cs="Arial"/>
          <w:sz w:val="20"/>
          <w:lang w:val="lt-LT"/>
        </w:rPr>
        <w:t xml:space="preserve">, </w:t>
      </w:r>
      <w:r w:rsidR="005D03CF" w:rsidRPr="00BE4BA5">
        <w:rPr>
          <w:rFonts w:ascii="Helvetica" w:hAnsi="Helvetica" w:cs="Arial"/>
          <w:sz w:val="20"/>
          <w:lang w:val="lt-LT"/>
        </w:rPr>
        <w:t>kur</w:t>
      </w:r>
      <w:r w:rsidRPr="00BE4BA5">
        <w:rPr>
          <w:rFonts w:ascii="Helvetica" w:hAnsi="Helvetica" w:cs="Arial"/>
          <w:sz w:val="20"/>
          <w:lang w:val="lt-LT"/>
        </w:rPr>
        <w:t>:</w:t>
      </w:r>
    </w:p>
    <w:p w14:paraId="177E6CB5" w14:textId="77777777" w:rsidR="006747C7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a. </w:t>
      </w:r>
      <w:r w:rsidR="006747C7" w:rsidRPr="00BE4BA5">
        <w:rPr>
          <w:rFonts w:ascii="Helvetica" w:hAnsi="Helvetica" w:cs="Arial"/>
          <w:sz w:val="20"/>
          <w:lang w:val="lt-LT"/>
        </w:rPr>
        <w:t>pacientui taikoma arba buvo taikoma spindulinė terapija; ir (arba)</w:t>
      </w:r>
    </w:p>
    <w:p w14:paraId="25F18B43" w14:textId="59952DBD" w:rsidR="00434733" w:rsidRPr="00BE4BA5" w:rsidRDefault="00FB0022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E4BA5">
        <w:rPr>
          <w:rFonts w:ascii="Helvetica" w:hAnsi="Helvetica" w:cs="Arial"/>
          <w:sz w:val="20"/>
          <w:lang w:val="lt-LT"/>
        </w:rPr>
        <w:t xml:space="preserve">b. </w:t>
      </w:r>
      <w:r w:rsidR="006747C7" w:rsidRPr="00BE4BA5">
        <w:rPr>
          <w:rFonts w:ascii="Helvetica" w:hAnsi="Helvetica" w:cs="Arial"/>
          <w:sz w:val="20"/>
          <w:lang w:val="lt-LT"/>
        </w:rPr>
        <w:t>pacientui buvo arba bus atliekama operacija.</w:t>
      </w:r>
    </w:p>
    <w:p w14:paraId="58CB244C" w14:textId="7F00B7B9" w:rsidR="00FE57EB" w:rsidRPr="00BE4BA5" w:rsidRDefault="00FE57EB" w:rsidP="00BE4BA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FE57EB" w:rsidRPr="00BE4BA5" w:rsidSect="00BE4BA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99038" w14:textId="77777777" w:rsidR="002F7253" w:rsidRDefault="002F7253" w:rsidP="007B0A41">
      <w:pPr>
        <w:spacing w:after="0" w:line="240" w:lineRule="auto"/>
      </w:pPr>
      <w:r>
        <w:separator/>
      </w:r>
    </w:p>
  </w:endnote>
  <w:endnote w:type="continuationSeparator" w:id="0">
    <w:p w14:paraId="5D192400" w14:textId="77777777" w:rsidR="002F7253" w:rsidRDefault="002F725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F473" w14:textId="77777777" w:rsidR="002F7253" w:rsidRDefault="002F7253" w:rsidP="007B0A41">
      <w:pPr>
        <w:spacing w:after="0" w:line="240" w:lineRule="auto"/>
      </w:pPr>
      <w:r>
        <w:separator/>
      </w:r>
    </w:p>
  </w:footnote>
  <w:footnote w:type="continuationSeparator" w:id="0">
    <w:p w14:paraId="2DAF59D6" w14:textId="77777777" w:rsidR="002F7253" w:rsidRDefault="002F725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1868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A51A1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F7253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03CF"/>
    <w:rsid w:val="005D37DF"/>
    <w:rsid w:val="005D3B9A"/>
    <w:rsid w:val="005E238A"/>
    <w:rsid w:val="005E7A72"/>
    <w:rsid w:val="005F4383"/>
    <w:rsid w:val="00600FCD"/>
    <w:rsid w:val="006031C5"/>
    <w:rsid w:val="006049CC"/>
    <w:rsid w:val="0061367A"/>
    <w:rsid w:val="00617E21"/>
    <w:rsid w:val="006375BB"/>
    <w:rsid w:val="006747C7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52BE6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1478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E4BA5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157F"/>
    <w:rsid w:val="00CE42D1"/>
    <w:rsid w:val="00CF70D6"/>
    <w:rsid w:val="00D10809"/>
    <w:rsid w:val="00D15412"/>
    <w:rsid w:val="00D16824"/>
    <w:rsid w:val="00D23A2A"/>
    <w:rsid w:val="00D24558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937CA"/>
    <w:rsid w:val="00EB1EE5"/>
    <w:rsid w:val="00EB6F08"/>
    <w:rsid w:val="00EC2BD7"/>
    <w:rsid w:val="00ED04B0"/>
    <w:rsid w:val="00ED3ADC"/>
    <w:rsid w:val="00F01CE8"/>
    <w:rsid w:val="00F31B9E"/>
    <w:rsid w:val="00F338E9"/>
    <w:rsid w:val="00F37F4D"/>
    <w:rsid w:val="00F5330D"/>
    <w:rsid w:val="00F577D6"/>
    <w:rsid w:val="00F660E3"/>
    <w:rsid w:val="00F66B57"/>
    <w:rsid w:val="00F87A00"/>
    <w:rsid w:val="00F9226B"/>
    <w:rsid w:val="00FA379B"/>
    <w:rsid w:val="00FA380A"/>
    <w:rsid w:val="00FB0022"/>
    <w:rsid w:val="00FB2032"/>
    <w:rsid w:val="00FB2D33"/>
    <w:rsid w:val="00FB63E2"/>
    <w:rsid w:val="00FD0914"/>
    <w:rsid w:val="00FD3E6A"/>
    <w:rsid w:val="00FE453E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4829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2024-05-04T08:29:00Z</dcterms:created>
  <dcterms:modified xsi:type="dcterms:W3CDTF">2024-05-09T13:46:00Z</dcterms:modified>
</cp:coreProperties>
</file>