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79D1" w14:textId="00A737D8" w:rsidR="00821C71" w:rsidRPr="00F81881" w:rsidRDefault="003417EF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1. </w:t>
      </w:r>
      <w:r w:rsidR="00223D82" w:rsidRPr="00F81881">
        <w:rPr>
          <w:rFonts w:ascii="Helvetica" w:hAnsi="Helvetica"/>
          <w:color w:val="auto"/>
          <w:sz w:val="20"/>
        </w:rPr>
        <w:t xml:space="preserve">Humanizuotas antikūnas, kuris specifiškai suriša žmogaus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transferino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receptorių, kur antikūnas apima sunkiosios grandinės kintamąjį domeną SEQ ID Nr. 24 ir lengvosios grandinės kintamąjį domeną SEQ ID Nr. 37.</w:t>
      </w:r>
    </w:p>
    <w:p w14:paraId="2A161C75" w14:textId="77777777" w:rsidR="00F81881" w:rsidRPr="00F81881" w:rsidRDefault="00F81881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</w:p>
    <w:p w14:paraId="5EE13C0D" w14:textId="77777777" w:rsidR="00F81881" w:rsidRDefault="003417EF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2. </w:t>
      </w:r>
      <w:r w:rsidR="00223D82" w:rsidRPr="00F81881">
        <w:rPr>
          <w:rFonts w:ascii="Helvetica" w:hAnsi="Helvetica"/>
          <w:color w:val="auto"/>
          <w:sz w:val="20"/>
        </w:rPr>
        <w:t xml:space="preserve">Humanizuotas antikūnas pagal 1 punktą, kur humanizuoto antikūno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efektorinė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funkcija nutildyta.</w:t>
      </w:r>
    </w:p>
    <w:p w14:paraId="314FD70F" w14:textId="77777777" w:rsidR="00F81881" w:rsidRDefault="00F81881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</w:p>
    <w:p w14:paraId="7B746DA8" w14:textId="01C9AF1F" w:rsidR="00821C71" w:rsidRPr="00F81881" w:rsidRDefault="003417EF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3. </w:t>
      </w:r>
      <w:r w:rsidR="00223D82" w:rsidRPr="00F81881">
        <w:rPr>
          <w:rFonts w:ascii="Helvetica" w:hAnsi="Helvetica"/>
          <w:color w:val="auto"/>
          <w:sz w:val="20"/>
        </w:rPr>
        <w:t xml:space="preserve">Humanizuotas antikūnas pagal bet kurį iš 1–2 punktų, kur humanizuotas antikūnas yra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daugiaspecifinis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antikūnas, </w:t>
      </w:r>
      <w:r w:rsidR="00E318D8" w:rsidRPr="00F81881">
        <w:rPr>
          <w:rFonts w:ascii="Helvetica" w:hAnsi="Helvetica"/>
          <w:color w:val="auto"/>
          <w:sz w:val="20"/>
        </w:rPr>
        <w:t>pasižymintis bent vienu surišimo specifiškumu</w:t>
      </w:r>
      <w:r w:rsidR="00223D82" w:rsidRPr="00F81881">
        <w:rPr>
          <w:rFonts w:ascii="Helvetica" w:hAnsi="Helvetica"/>
          <w:color w:val="auto"/>
          <w:sz w:val="20"/>
        </w:rPr>
        <w:t xml:space="preserve"> žmogaus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transferino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</w:t>
      </w:r>
      <w:r w:rsidR="00E318D8" w:rsidRPr="00F81881">
        <w:rPr>
          <w:rFonts w:ascii="Helvetica" w:hAnsi="Helvetica"/>
          <w:color w:val="auto"/>
          <w:sz w:val="20"/>
        </w:rPr>
        <w:t xml:space="preserve">receptoriaus atžvilgiu </w:t>
      </w:r>
      <w:r w:rsidR="00223D82" w:rsidRPr="00F81881">
        <w:rPr>
          <w:rFonts w:ascii="Helvetica" w:hAnsi="Helvetica"/>
          <w:color w:val="auto"/>
          <w:sz w:val="20"/>
        </w:rPr>
        <w:t xml:space="preserve">ir </w:t>
      </w:r>
      <w:r w:rsidR="00E318D8" w:rsidRPr="00F81881">
        <w:rPr>
          <w:rFonts w:ascii="Helvetica" w:hAnsi="Helvetica"/>
          <w:color w:val="auto"/>
          <w:sz w:val="20"/>
        </w:rPr>
        <w:t>bent vienu surišimo specifiškumu</w:t>
      </w:r>
      <w:r w:rsidR="00223D82" w:rsidRPr="00F81881">
        <w:rPr>
          <w:rFonts w:ascii="Helvetica" w:hAnsi="Helvetica"/>
          <w:color w:val="auto"/>
          <w:sz w:val="20"/>
        </w:rPr>
        <w:t xml:space="preserve"> </w:t>
      </w:r>
      <w:r w:rsidR="00E318D8" w:rsidRPr="00F81881">
        <w:rPr>
          <w:rFonts w:ascii="Helvetica" w:hAnsi="Helvetica"/>
          <w:color w:val="auto"/>
          <w:sz w:val="20"/>
        </w:rPr>
        <w:t>terapinio taikinio atžvilgiu</w:t>
      </w:r>
      <w:r w:rsidR="00223D82" w:rsidRPr="00F81881">
        <w:rPr>
          <w:rFonts w:ascii="Helvetica" w:hAnsi="Helvetica"/>
          <w:color w:val="auto"/>
          <w:sz w:val="20"/>
        </w:rPr>
        <w:t>.</w:t>
      </w:r>
    </w:p>
    <w:p w14:paraId="36310BC0" w14:textId="77777777" w:rsidR="00F81881" w:rsidRPr="00F81881" w:rsidRDefault="00F81881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</w:p>
    <w:p w14:paraId="56CFD133" w14:textId="129CA273" w:rsidR="00821C71" w:rsidRPr="00F81881" w:rsidRDefault="003417EF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4. </w:t>
      </w:r>
      <w:r w:rsidR="00223D82" w:rsidRPr="00F81881">
        <w:rPr>
          <w:rFonts w:ascii="Helvetica" w:hAnsi="Helvetica"/>
          <w:color w:val="auto"/>
          <w:sz w:val="20"/>
        </w:rPr>
        <w:t xml:space="preserve">Humanizuotas antikūnas pagal 3 punktą, kur humanizuotas antikūnas apima pirmąją antigeno surišimo vietą, kuri suriša žmogaus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transferino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receptorių, ir antrąją antigeno surišimo vietą, kuri suriša smegenų antigeną.</w:t>
      </w:r>
    </w:p>
    <w:p w14:paraId="1E10E1E8" w14:textId="77777777" w:rsidR="00F81881" w:rsidRPr="00F81881" w:rsidRDefault="00F81881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</w:p>
    <w:p w14:paraId="0495C5D9" w14:textId="08B749BE" w:rsidR="00821C71" w:rsidRPr="00F81881" w:rsidRDefault="003417EF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5. </w:t>
      </w:r>
      <w:r w:rsidR="00223D82" w:rsidRPr="00F81881">
        <w:rPr>
          <w:rFonts w:ascii="Helvetica" w:hAnsi="Helvetica"/>
          <w:color w:val="auto"/>
          <w:sz w:val="20"/>
        </w:rPr>
        <w:t xml:space="preserve">Humanizuotas antikūnas pagal 4 punktą, kur smegenų antigenas yra parinktas iš grupės, kurią sudaro beta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amiloidas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, epidermio augimo faktoriaus receptorius (EGFR), žmogaus epidermio augimo faktoriaus receptorius </w:t>
      </w:r>
      <w:r w:rsidR="00E318D8" w:rsidRPr="00F81881">
        <w:rPr>
          <w:rFonts w:ascii="Helvetica" w:hAnsi="Helvetica"/>
          <w:color w:val="auto"/>
          <w:sz w:val="20"/>
        </w:rPr>
        <w:t xml:space="preserve">2 </w:t>
      </w:r>
      <w:r w:rsidR="00223D82" w:rsidRPr="00F81881">
        <w:rPr>
          <w:rFonts w:ascii="Helvetica" w:hAnsi="Helvetica"/>
          <w:color w:val="auto"/>
          <w:sz w:val="20"/>
        </w:rPr>
        <w:t xml:space="preserve">(HER2), alfa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sinukleinas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, CD20,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amiloidinio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baltymo pirmtakas (APP) ir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gliukocerebrozidazė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>.</w:t>
      </w:r>
    </w:p>
    <w:p w14:paraId="7A94A3EF" w14:textId="77777777" w:rsidR="00F81881" w:rsidRPr="00F81881" w:rsidRDefault="00F81881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</w:p>
    <w:p w14:paraId="558E8803" w14:textId="4408E8F7" w:rsidR="00821C71" w:rsidRPr="00F81881" w:rsidRDefault="003417EF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6. </w:t>
      </w:r>
      <w:r w:rsidR="00223D82" w:rsidRPr="00F81881">
        <w:rPr>
          <w:rFonts w:ascii="Helvetica" w:hAnsi="Helvetica"/>
          <w:color w:val="auto"/>
          <w:sz w:val="20"/>
        </w:rPr>
        <w:t xml:space="preserve">Humanizuotas antikūnas pagal bet kurį iš 3–5 punktų, kur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daugiaspecifinis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antikūnas suriša</w:t>
      </w:r>
      <w:r w:rsidR="006A6852" w:rsidRPr="00F81881">
        <w:rPr>
          <w:rFonts w:ascii="Helvetica" w:hAnsi="Helvetica"/>
          <w:color w:val="auto"/>
          <w:sz w:val="20"/>
        </w:rPr>
        <w:t xml:space="preserve"> abu:</w:t>
      </w:r>
    </w:p>
    <w:p w14:paraId="484A63D6" w14:textId="420DC647" w:rsidR="00821C71" w:rsidRPr="00F81881" w:rsidRDefault="003417EF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i) </w:t>
      </w:r>
      <w:r w:rsidR="00223D82" w:rsidRPr="00F81881">
        <w:rPr>
          <w:rFonts w:ascii="Helvetica" w:hAnsi="Helvetica"/>
          <w:color w:val="auto"/>
          <w:sz w:val="20"/>
        </w:rPr>
        <w:t xml:space="preserve">žmogaus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transferino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receptorių ir beta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amiloidą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arba</w:t>
      </w:r>
    </w:p>
    <w:p w14:paraId="31C0C9B0" w14:textId="059AFC7A" w:rsidR="00821C71" w:rsidRPr="00F81881" w:rsidRDefault="003417EF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ii) </w:t>
      </w:r>
      <w:r w:rsidR="00223D82" w:rsidRPr="00F81881">
        <w:rPr>
          <w:rFonts w:ascii="Helvetica" w:hAnsi="Helvetica"/>
          <w:color w:val="auto"/>
          <w:sz w:val="20"/>
        </w:rPr>
        <w:t xml:space="preserve">žmogaus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transferino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receptorių ir CD20, arba</w:t>
      </w:r>
    </w:p>
    <w:p w14:paraId="2472A32F" w14:textId="2E11AEAA" w:rsidR="00821C71" w:rsidRPr="00F81881" w:rsidRDefault="003417EF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iii) </w:t>
      </w:r>
      <w:r w:rsidR="00223D82" w:rsidRPr="00F81881">
        <w:rPr>
          <w:rFonts w:ascii="Helvetica" w:hAnsi="Helvetica"/>
          <w:color w:val="auto"/>
          <w:sz w:val="20"/>
        </w:rPr>
        <w:t xml:space="preserve">žmogaus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transferino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receptorių ir alfa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sinukleiną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>, arba</w:t>
      </w:r>
    </w:p>
    <w:p w14:paraId="423BD5F3" w14:textId="71EF19EC" w:rsidR="00821C71" w:rsidRPr="00F81881" w:rsidRDefault="003417EF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iv) </w:t>
      </w:r>
      <w:r w:rsidR="00223D82" w:rsidRPr="00F81881">
        <w:rPr>
          <w:rFonts w:ascii="Helvetica" w:hAnsi="Helvetica"/>
          <w:color w:val="auto"/>
          <w:sz w:val="20"/>
        </w:rPr>
        <w:t xml:space="preserve">žmogaus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transferino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receptorių ir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fosfo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>-tau, arba</w:t>
      </w:r>
    </w:p>
    <w:p w14:paraId="619B407A" w14:textId="33620495" w:rsidR="00821C71" w:rsidRPr="00F81881" w:rsidRDefault="003417EF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v) </w:t>
      </w:r>
      <w:r w:rsidR="00223D82" w:rsidRPr="00F81881">
        <w:rPr>
          <w:rFonts w:ascii="Helvetica" w:hAnsi="Helvetica"/>
          <w:color w:val="auto"/>
          <w:sz w:val="20"/>
        </w:rPr>
        <w:t xml:space="preserve">žmogaus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transferino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receptorių ir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gliukocerebrozidazę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>.</w:t>
      </w:r>
    </w:p>
    <w:p w14:paraId="52568C3D" w14:textId="77777777" w:rsidR="00F81881" w:rsidRPr="00F81881" w:rsidRDefault="00F81881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</w:p>
    <w:p w14:paraId="196204BA" w14:textId="4E2B69A3" w:rsidR="00821C71" w:rsidRPr="00F81881" w:rsidRDefault="003417EF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7. </w:t>
      </w:r>
      <w:r w:rsidR="00223D82" w:rsidRPr="00F81881">
        <w:rPr>
          <w:rFonts w:ascii="Helvetica" w:hAnsi="Helvetica"/>
          <w:color w:val="auto"/>
          <w:sz w:val="20"/>
        </w:rPr>
        <w:t xml:space="preserve">Humanizuotas antikūnas pagal bet kurį iš 1–6 punktų, kur humanizuotas antikūnas yra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bispecifinis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antikūnas, apimantis</w:t>
      </w:r>
    </w:p>
    <w:p w14:paraId="48D16323" w14:textId="5990A176" w:rsidR="00821C71" w:rsidRPr="00F81881" w:rsidRDefault="003417EF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i) </w:t>
      </w:r>
      <w:r w:rsidR="00223D82" w:rsidRPr="00F81881">
        <w:rPr>
          <w:rFonts w:ascii="Helvetica" w:hAnsi="Helvetica"/>
          <w:color w:val="auto"/>
          <w:sz w:val="20"/>
        </w:rPr>
        <w:t>pirmą</w:t>
      </w:r>
      <w:r w:rsidRPr="00F81881">
        <w:rPr>
          <w:rFonts w:ascii="Helvetica" w:hAnsi="Helvetica"/>
          <w:color w:val="auto"/>
          <w:sz w:val="20"/>
        </w:rPr>
        <w:t xml:space="preserve"> </w:t>
      </w:r>
      <w:r w:rsidR="00223D82" w:rsidRPr="00F81881">
        <w:rPr>
          <w:rFonts w:ascii="Helvetica" w:hAnsi="Helvetica"/>
          <w:color w:val="auto"/>
          <w:sz w:val="20"/>
        </w:rPr>
        <w:t>ją surišimo vietą, apimančią sunkiosios grandinės kintamąjį domeną SEQ ID Nr. 2</w:t>
      </w:r>
      <w:r w:rsidRPr="00F81881">
        <w:rPr>
          <w:rFonts w:ascii="Helvetica" w:hAnsi="Helvetica"/>
          <w:color w:val="auto"/>
          <w:sz w:val="20"/>
        </w:rPr>
        <w:t xml:space="preserve"> </w:t>
      </w:r>
      <w:r w:rsidR="00223D82" w:rsidRPr="00F81881">
        <w:rPr>
          <w:rFonts w:ascii="Helvetica" w:hAnsi="Helvetica"/>
          <w:color w:val="auto"/>
          <w:sz w:val="20"/>
        </w:rPr>
        <w:t>4 ir lengvosios grandinės kintamąjį domeną SEQ ID Nr. 37,</w:t>
      </w:r>
    </w:p>
    <w:p w14:paraId="42B68A3F" w14:textId="77777777" w:rsidR="00821C71" w:rsidRPr="00F81881" w:rsidRDefault="00223D82" w:rsidP="00F81881">
      <w:pPr>
        <w:widowControl/>
        <w:spacing w:line="360" w:lineRule="auto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>ir</w:t>
      </w:r>
    </w:p>
    <w:p w14:paraId="5AEDDEB3" w14:textId="6D3174FF" w:rsidR="00821C71" w:rsidRPr="00F81881" w:rsidRDefault="003417EF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ii) </w:t>
      </w:r>
      <w:r w:rsidR="00223D82" w:rsidRPr="00F81881">
        <w:rPr>
          <w:rFonts w:ascii="Helvetica" w:hAnsi="Helvetica"/>
          <w:color w:val="auto"/>
          <w:sz w:val="20"/>
        </w:rPr>
        <w:t>antrąją surišimo vietą, parinktą iš</w:t>
      </w:r>
    </w:p>
    <w:p w14:paraId="029D3FBC" w14:textId="5EB1798B" w:rsidR="00821C71" w:rsidRPr="00F81881" w:rsidRDefault="003417EF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>a)</w:t>
      </w:r>
      <w:r w:rsidR="00223D82" w:rsidRPr="00F81881">
        <w:rPr>
          <w:rFonts w:ascii="Helvetica" w:hAnsi="Helvetica"/>
          <w:color w:val="auto"/>
          <w:sz w:val="20"/>
        </w:rPr>
        <w:t>sunkiosios grandinės kintamojo domeno, pažymėto SEQ ID Nr. 81, ir lengvosios grandinės kintamojo domeno, pažymėto SEQ ID Nr. 82, arba</w:t>
      </w:r>
    </w:p>
    <w:p w14:paraId="2FA3FCC7" w14:textId="6B09C735" w:rsidR="00821C71" w:rsidRPr="00F81881" w:rsidRDefault="003417EF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b) </w:t>
      </w:r>
      <w:r w:rsidR="00223D82" w:rsidRPr="00F81881">
        <w:rPr>
          <w:rFonts w:ascii="Helvetica" w:hAnsi="Helvetica"/>
          <w:color w:val="auto"/>
          <w:sz w:val="20"/>
        </w:rPr>
        <w:t>sunkiosios grandinės kintamojo domeno, pažymėto SEQ ID Nr. 83, ir lengvosios grandinės kintamojo domeno, pažymėto SEQ ID Nr. 84, arba</w:t>
      </w:r>
    </w:p>
    <w:p w14:paraId="4B3DA9A7" w14:textId="14963FCB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c) </w:t>
      </w:r>
      <w:r w:rsidR="00223D82" w:rsidRPr="00F81881">
        <w:rPr>
          <w:rFonts w:ascii="Helvetica" w:hAnsi="Helvetica"/>
          <w:color w:val="auto"/>
          <w:sz w:val="20"/>
        </w:rPr>
        <w:t>sunkiosios grandinės kintamojo domeno, pažymėto SEQ ID Nr. 85, ir lengvosios grandinės kintamojo domeno, pažymėto SEQ ID Nr. 86, arba</w:t>
      </w:r>
    </w:p>
    <w:p w14:paraId="4931684D" w14:textId="2C381181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d) </w:t>
      </w:r>
      <w:r w:rsidR="00223D82" w:rsidRPr="00F81881">
        <w:rPr>
          <w:rFonts w:ascii="Helvetica" w:hAnsi="Helvetica"/>
          <w:color w:val="auto"/>
          <w:sz w:val="20"/>
        </w:rPr>
        <w:t>sunkiosios grandinės kintamojo domeno, pažymėto SEQ ID Nr. 87, ir lengvosios grandinės kintamojo domeno, pažymėto SEQ ID Nr. 88, arba</w:t>
      </w:r>
    </w:p>
    <w:p w14:paraId="1B947901" w14:textId="5CE43269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e) </w:t>
      </w:r>
      <w:r w:rsidR="00223D82" w:rsidRPr="00F81881">
        <w:rPr>
          <w:rFonts w:ascii="Helvetica" w:hAnsi="Helvetica"/>
          <w:color w:val="auto"/>
          <w:sz w:val="20"/>
        </w:rPr>
        <w:t>sunkiosios grandinės kintamojo domeno, pažymėto SEQ ID Nr. 91, ir lengvosios grandinės kintamojo domeno, pažymėto SEQ ID Nr. 92, arba</w:t>
      </w:r>
    </w:p>
    <w:p w14:paraId="64B36BBB" w14:textId="659656CB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f) </w:t>
      </w:r>
      <w:r w:rsidR="00223D82" w:rsidRPr="00F81881">
        <w:rPr>
          <w:rFonts w:ascii="Helvetica" w:hAnsi="Helvetica"/>
          <w:color w:val="auto"/>
          <w:sz w:val="20"/>
        </w:rPr>
        <w:t>sunkiosios grandinės kintamojo domeno, pažymėto SEQ ID Nr. 89, ir lengvosios grandinės kintamojo domeno, pažymėto SEQ ID Nr. 90, arba</w:t>
      </w:r>
    </w:p>
    <w:p w14:paraId="67ECCD3A" w14:textId="13562BDA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lastRenderedPageBreak/>
        <w:t xml:space="preserve">g) </w:t>
      </w:r>
      <w:r w:rsidR="00223D82" w:rsidRPr="00F81881">
        <w:rPr>
          <w:rFonts w:ascii="Helvetica" w:hAnsi="Helvetica"/>
          <w:color w:val="auto"/>
          <w:sz w:val="20"/>
        </w:rPr>
        <w:t>sunkiosios grandinės kintamojo domeno, pažymėto SEQ ID Nr. 93, ir lengvosios grandinės kintamojo domeno, pažymėto SEQ ID Nr. 94, arba</w:t>
      </w:r>
    </w:p>
    <w:p w14:paraId="0617D88D" w14:textId="5D4EDE45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h) </w:t>
      </w:r>
      <w:r w:rsidR="00223D82" w:rsidRPr="00F81881">
        <w:rPr>
          <w:rFonts w:ascii="Helvetica" w:hAnsi="Helvetica"/>
          <w:color w:val="auto"/>
          <w:sz w:val="20"/>
        </w:rPr>
        <w:t>sunkiosios grandinės kintamojo domeno, pažymėto SEQ ID Nr. 79, ir lengvosios grandinės kintamojo domeno, pažymėto SEQ ID Nr. 80.</w:t>
      </w:r>
    </w:p>
    <w:p w14:paraId="35B1DC4D" w14:textId="77777777" w:rsidR="00F81881" w:rsidRPr="00F81881" w:rsidRDefault="00F81881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</w:p>
    <w:p w14:paraId="05AD481F" w14:textId="621ADD0A" w:rsidR="00821C71" w:rsidRPr="00F81881" w:rsidRDefault="00053CEB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8. </w:t>
      </w:r>
      <w:r w:rsidR="00223D82" w:rsidRPr="00F81881">
        <w:rPr>
          <w:rFonts w:ascii="Helvetica" w:hAnsi="Helvetica"/>
          <w:color w:val="auto"/>
          <w:sz w:val="20"/>
        </w:rPr>
        <w:t>Humanizuotas antikūnas pagal bet kurį iš 1–7 punktų, kur humanizuotas antikūnas yra</w:t>
      </w:r>
    </w:p>
    <w:p w14:paraId="1EB5E498" w14:textId="00BFF9AD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a) </w:t>
      </w:r>
      <w:r w:rsidR="00223D82" w:rsidRPr="00F81881">
        <w:rPr>
          <w:rFonts w:ascii="Helvetica" w:hAnsi="Helvetica"/>
          <w:color w:val="auto"/>
          <w:sz w:val="20"/>
        </w:rPr>
        <w:t>viso ilgio antikūnas, priklausantis žmogaus IgG1 poklasiui, arba</w:t>
      </w:r>
    </w:p>
    <w:p w14:paraId="3E75C6E3" w14:textId="067E9315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b) </w:t>
      </w:r>
      <w:r w:rsidR="00223D82" w:rsidRPr="00F81881">
        <w:rPr>
          <w:rFonts w:ascii="Helvetica" w:hAnsi="Helvetica"/>
          <w:color w:val="auto"/>
          <w:sz w:val="20"/>
        </w:rPr>
        <w:t>viso ilgio antikūnas, priklausantis žmogaus IgG4 poklasiui, arba</w:t>
      </w:r>
    </w:p>
    <w:p w14:paraId="26AB6A2B" w14:textId="2C6FCD9E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c) </w:t>
      </w:r>
      <w:r w:rsidR="00223D82" w:rsidRPr="00F81881">
        <w:rPr>
          <w:rFonts w:ascii="Helvetica" w:hAnsi="Helvetica"/>
          <w:color w:val="auto"/>
          <w:sz w:val="20"/>
        </w:rPr>
        <w:t>viso ilgio antikūnas, priklausantis žmogaus IgG1 poklasiui, su mutacijomis L234A, L235A ir P329G,</w:t>
      </w:r>
    </w:p>
    <w:p w14:paraId="48D9B610" w14:textId="37369B8E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d) </w:t>
      </w:r>
      <w:r w:rsidR="00223D82" w:rsidRPr="00F81881">
        <w:rPr>
          <w:rFonts w:ascii="Helvetica" w:hAnsi="Helvetica"/>
          <w:color w:val="auto"/>
          <w:sz w:val="20"/>
        </w:rPr>
        <w:t>viso ilgio antikūnas, priklausantis žmogaus IgG4 poklasiui, su mutacijomis S228P, L235E ir, pasirinktinai, P329G,</w:t>
      </w:r>
    </w:p>
    <w:p w14:paraId="6CD8D002" w14:textId="05317556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e) </w:t>
      </w:r>
      <w:r w:rsidR="00223D82" w:rsidRPr="00F81881">
        <w:rPr>
          <w:rFonts w:ascii="Helvetica" w:hAnsi="Helvetica"/>
          <w:color w:val="auto"/>
          <w:sz w:val="20"/>
        </w:rPr>
        <w:t>viso ilgio antikūnas, priklausantis žmogaus IgG1 poklasiui, su mutacijomis L234A, L235A ir P329G abiejose sunkiosiose grandinėse ir mutacijomis T366W bei S354C vienoje sunkiojoje grandinėje</w:t>
      </w:r>
      <w:r w:rsidR="006A6852" w:rsidRPr="00F81881">
        <w:rPr>
          <w:rFonts w:ascii="Helvetica" w:hAnsi="Helvetica"/>
          <w:color w:val="auto"/>
          <w:sz w:val="20"/>
        </w:rPr>
        <w:t>,</w:t>
      </w:r>
      <w:r w:rsidR="00223D82" w:rsidRPr="00F81881">
        <w:rPr>
          <w:rFonts w:ascii="Helvetica" w:hAnsi="Helvetica"/>
          <w:color w:val="auto"/>
          <w:sz w:val="20"/>
        </w:rPr>
        <w:t xml:space="preserve"> ir mutacijomis T366S, L368A, Y407V bei Y349C atitinkamoje antrojoje sunkiojoje grandinėje, arba</w:t>
      </w:r>
    </w:p>
    <w:p w14:paraId="1DC2831C" w14:textId="035D4AA5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f) </w:t>
      </w:r>
      <w:r w:rsidR="00223D82" w:rsidRPr="00F81881">
        <w:rPr>
          <w:rFonts w:ascii="Helvetica" w:hAnsi="Helvetica"/>
          <w:color w:val="auto"/>
          <w:sz w:val="20"/>
        </w:rPr>
        <w:t>viso ilgio antikūnas, priklausantis žmogaus IgG4 poklasiui, su mutacijomis S228P, L235E ir, pasirinktinai, P329G abiejose sunkiosiose grandinėse</w:t>
      </w:r>
      <w:r w:rsidR="006A6852" w:rsidRPr="00F81881">
        <w:rPr>
          <w:rFonts w:ascii="Helvetica" w:hAnsi="Helvetica"/>
          <w:color w:val="auto"/>
          <w:sz w:val="20"/>
        </w:rPr>
        <w:t>,</w:t>
      </w:r>
      <w:r w:rsidR="00223D82" w:rsidRPr="00F81881">
        <w:rPr>
          <w:rFonts w:ascii="Helvetica" w:hAnsi="Helvetica"/>
          <w:color w:val="auto"/>
          <w:sz w:val="20"/>
        </w:rPr>
        <w:t xml:space="preserve"> ir mutacijomis T366W bei S354C vienoje sunkiojoje grandinėje</w:t>
      </w:r>
      <w:r w:rsidR="006A6852" w:rsidRPr="00F81881">
        <w:rPr>
          <w:rFonts w:ascii="Helvetica" w:hAnsi="Helvetica"/>
          <w:color w:val="auto"/>
          <w:sz w:val="20"/>
        </w:rPr>
        <w:t>,</w:t>
      </w:r>
      <w:r w:rsidR="00223D82" w:rsidRPr="00F81881">
        <w:rPr>
          <w:rFonts w:ascii="Helvetica" w:hAnsi="Helvetica"/>
          <w:color w:val="auto"/>
          <w:sz w:val="20"/>
        </w:rPr>
        <w:t xml:space="preserve"> ir mutacijomis T366S, L368A, Y407V bei Y349C atitinkamoje antrojoje sunkiojoje grandinėje.</w:t>
      </w:r>
    </w:p>
    <w:p w14:paraId="2D055929" w14:textId="77777777" w:rsidR="00F81881" w:rsidRPr="00F81881" w:rsidRDefault="00F81881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</w:p>
    <w:p w14:paraId="2AAABBF7" w14:textId="1F0656E4" w:rsidR="00821C71" w:rsidRPr="00F81881" w:rsidRDefault="00053CEB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9. </w:t>
      </w:r>
      <w:r w:rsidR="00223D82" w:rsidRPr="00F81881">
        <w:rPr>
          <w:rFonts w:ascii="Helvetica" w:hAnsi="Helvetica"/>
          <w:color w:val="auto"/>
          <w:sz w:val="20"/>
        </w:rPr>
        <w:t>Humanizuotas antikūnas pagal bet kurį iš 1–7 punktų, kur humanizuotas antikūnas apima</w:t>
      </w:r>
    </w:p>
    <w:p w14:paraId="72A5C02B" w14:textId="1C0A2313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i) </w:t>
      </w:r>
      <w:r w:rsidR="00A14426" w:rsidRPr="00F81881">
        <w:rPr>
          <w:rFonts w:ascii="Helvetica" w:hAnsi="Helvetica"/>
          <w:color w:val="auto"/>
          <w:sz w:val="20"/>
        </w:rPr>
        <w:t xml:space="preserve">žmogaus IgG1 poklasio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homodimerinę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sritį, pasirinktinai</w:t>
      </w:r>
      <w:r w:rsidR="00A14426" w:rsidRPr="00F81881">
        <w:rPr>
          <w:rFonts w:ascii="Helvetica" w:hAnsi="Helvetica"/>
          <w:color w:val="auto"/>
          <w:sz w:val="20"/>
        </w:rPr>
        <w:t>,</w:t>
      </w:r>
      <w:r w:rsidR="00223D82" w:rsidRPr="00F81881">
        <w:rPr>
          <w:rFonts w:ascii="Helvetica" w:hAnsi="Helvetica"/>
          <w:color w:val="auto"/>
          <w:sz w:val="20"/>
        </w:rPr>
        <w:t xml:space="preserve"> su mutacijomis P329G, L234A ir L235A, arba</w:t>
      </w:r>
    </w:p>
    <w:p w14:paraId="73FADF05" w14:textId="1DCAFB77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ii) </w:t>
      </w:r>
      <w:r w:rsidR="00A14426" w:rsidRPr="00F81881">
        <w:rPr>
          <w:rFonts w:ascii="Helvetica" w:hAnsi="Helvetica"/>
          <w:color w:val="auto"/>
          <w:sz w:val="20"/>
        </w:rPr>
        <w:t xml:space="preserve">žmogaus IgG4 poklasio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homodimerinę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sritį, pasirinktinai</w:t>
      </w:r>
      <w:r w:rsidR="00A14426" w:rsidRPr="00F81881">
        <w:rPr>
          <w:rFonts w:ascii="Helvetica" w:hAnsi="Helvetica"/>
          <w:color w:val="auto"/>
          <w:sz w:val="20"/>
        </w:rPr>
        <w:t>,</w:t>
      </w:r>
      <w:r w:rsidR="00223D82" w:rsidRPr="00F81881">
        <w:rPr>
          <w:rFonts w:ascii="Helvetica" w:hAnsi="Helvetica"/>
          <w:color w:val="auto"/>
          <w:sz w:val="20"/>
        </w:rPr>
        <w:t xml:space="preserve"> su mutacijomis P329G, S228P ir L235E, arba</w:t>
      </w:r>
    </w:p>
    <w:p w14:paraId="21BB020B" w14:textId="63BA29AB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iii)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heterodimerinę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sritį, kur</w:t>
      </w:r>
    </w:p>
    <w:p w14:paraId="1FE1A0B1" w14:textId="4006139B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a) </w:t>
      </w:r>
      <w:r w:rsidR="00223D82" w:rsidRPr="00F81881">
        <w:rPr>
          <w:rFonts w:ascii="Helvetica" w:hAnsi="Helvetica"/>
          <w:color w:val="auto"/>
          <w:sz w:val="20"/>
        </w:rPr>
        <w:t xml:space="preserve">vienas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mutaciją T366W</w:t>
      </w:r>
      <w:r w:rsidR="00A14426" w:rsidRPr="00F81881">
        <w:rPr>
          <w:rFonts w:ascii="Helvetica" w:hAnsi="Helvetica"/>
          <w:color w:val="auto"/>
          <w:sz w:val="20"/>
        </w:rPr>
        <w:t>,</w:t>
      </w:r>
      <w:r w:rsidR="00223D82" w:rsidRPr="00F81881">
        <w:rPr>
          <w:rFonts w:ascii="Helvetica" w:hAnsi="Helvetica"/>
          <w:color w:val="auto"/>
          <w:sz w:val="20"/>
        </w:rPr>
        <w:t xml:space="preserve"> ir antras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mutacijas T366S, L368A bei Y407V, arba</w:t>
      </w:r>
    </w:p>
    <w:p w14:paraId="4B1D7FCD" w14:textId="4A569D34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b) </w:t>
      </w:r>
      <w:r w:rsidR="00223D82" w:rsidRPr="00F81881">
        <w:rPr>
          <w:rFonts w:ascii="Helvetica" w:hAnsi="Helvetica"/>
          <w:color w:val="auto"/>
          <w:sz w:val="20"/>
        </w:rPr>
        <w:t xml:space="preserve">vienas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mutacijas T366W bei Y349C</w:t>
      </w:r>
      <w:r w:rsidR="00A14426" w:rsidRPr="00F81881">
        <w:rPr>
          <w:rFonts w:ascii="Helvetica" w:hAnsi="Helvetica"/>
          <w:color w:val="auto"/>
          <w:sz w:val="20"/>
        </w:rPr>
        <w:t>,</w:t>
      </w:r>
      <w:r w:rsidR="00223D82" w:rsidRPr="00F81881">
        <w:rPr>
          <w:rFonts w:ascii="Helvetica" w:hAnsi="Helvetica"/>
          <w:color w:val="auto"/>
          <w:sz w:val="20"/>
        </w:rPr>
        <w:t xml:space="preserve"> ir antras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mutacijas T366S, L368A, Y407V bei S354C, arba</w:t>
      </w:r>
    </w:p>
    <w:p w14:paraId="766FEE1B" w14:textId="23808E3B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c) </w:t>
      </w:r>
      <w:r w:rsidR="00223D82" w:rsidRPr="00F81881">
        <w:rPr>
          <w:rFonts w:ascii="Helvetica" w:hAnsi="Helvetica"/>
          <w:color w:val="auto"/>
          <w:sz w:val="20"/>
        </w:rPr>
        <w:t xml:space="preserve">vienas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mutacijas T366W bei S354C</w:t>
      </w:r>
      <w:r w:rsidR="00A14426" w:rsidRPr="00F81881">
        <w:rPr>
          <w:rFonts w:ascii="Helvetica" w:hAnsi="Helvetica"/>
          <w:color w:val="auto"/>
          <w:sz w:val="20"/>
        </w:rPr>
        <w:t>,</w:t>
      </w:r>
      <w:r w:rsidR="00223D82" w:rsidRPr="00F81881">
        <w:rPr>
          <w:rFonts w:ascii="Helvetica" w:hAnsi="Helvetica"/>
          <w:color w:val="auto"/>
          <w:sz w:val="20"/>
        </w:rPr>
        <w:t xml:space="preserve"> ir antras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mutacijas T366S, L368A, Y407V bei Y349C,</w:t>
      </w:r>
    </w:p>
    <w:p w14:paraId="2AF4BAF5" w14:textId="77777777" w:rsidR="00821C71" w:rsidRPr="00F81881" w:rsidRDefault="00223D82" w:rsidP="00F81881">
      <w:pPr>
        <w:widowControl/>
        <w:spacing w:line="360" w:lineRule="auto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>arba</w:t>
      </w:r>
    </w:p>
    <w:p w14:paraId="04B8EDA3" w14:textId="39E8E1BD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iv) </w:t>
      </w:r>
      <w:r w:rsidR="00A14426" w:rsidRPr="00F81881">
        <w:rPr>
          <w:rFonts w:ascii="Helvetica" w:hAnsi="Helvetica"/>
          <w:color w:val="auto"/>
          <w:sz w:val="20"/>
        </w:rPr>
        <w:t xml:space="preserve">žmogaus IgG4 poklasio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heterodimerinę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sritį, kur abu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polipeptidai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mutacijas P329G, L234A ir L235A, ir</w:t>
      </w:r>
    </w:p>
    <w:p w14:paraId="08EB3459" w14:textId="493ABADD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a) </w:t>
      </w:r>
      <w:r w:rsidR="00223D82" w:rsidRPr="00F81881">
        <w:rPr>
          <w:rFonts w:ascii="Helvetica" w:hAnsi="Helvetica"/>
          <w:color w:val="auto"/>
          <w:sz w:val="20"/>
        </w:rPr>
        <w:t xml:space="preserve">vienas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mutaciją T366W</w:t>
      </w:r>
      <w:r w:rsidR="00A14426" w:rsidRPr="00F81881">
        <w:rPr>
          <w:rFonts w:ascii="Helvetica" w:hAnsi="Helvetica"/>
          <w:color w:val="auto"/>
          <w:sz w:val="20"/>
        </w:rPr>
        <w:t>,</w:t>
      </w:r>
      <w:r w:rsidR="00223D82" w:rsidRPr="00F81881">
        <w:rPr>
          <w:rFonts w:ascii="Helvetica" w:hAnsi="Helvetica"/>
          <w:color w:val="auto"/>
          <w:sz w:val="20"/>
        </w:rPr>
        <w:t xml:space="preserve"> ir antras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mutacijas T366S, L368A bei Y407V, arba</w:t>
      </w:r>
    </w:p>
    <w:p w14:paraId="43AAC880" w14:textId="683B9589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b) </w:t>
      </w:r>
      <w:r w:rsidR="00223D82" w:rsidRPr="00F81881">
        <w:rPr>
          <w:rFonts w:ascii="Helvetica" w:hAnsi="Helvetica"/>
          <w:color w:val="auto"/>
          <w:sz w:val="20"/>
        </w:rPr>
        <w:t xml:space="preserve">vienas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mutacijas T366W bei Y349C</w:t>
      </w:r>
      <w:r w:rsidR="00A14426" w:rsidRPr="00F81881">
        <w:rPr>
          <w:rFonts w:ascii="Helvetica" w:hAnsi="Helvetica"/>
          <w:color w:val="auto"/>
          <w:sz w:val="20"/>
        </w:rPr>
        <w:t>,</w:t>
      </w:r>
      <w:r w:rsidR="00223D82" w:rsidRPr="00F81881">
        <w:rPr>
          <w:rFonts w:ascii="Helvetica" w:hAnsi="Helvetica"/>
          <w:color w:val="auto"/>
          <w:sz w:val="20"/>
        </w:rPr>
        <w:t xml:space="preserve"> ir antras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mutacijas T366S, L368A, Y407V bei S354C, arba</w:t>
      </w:r>
    </w:p>
    <w:p w14:paraId="24E57434" w14:textId="5093454E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c) </w:t>
      </w:r>
      <w:r w:rsidR="00223D82" w:rsidRPr="00F81881">
        <w:rPr>
          <w:rFonts w:ascii="Helvetica" w:hAnsi="Helvetica"/>
          <w:color w:val="auto"/>
          <w:sz w:val="20"/>
        </w:rPr>
        <w:t xml:space="preserve">vienas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mutacijas T366W bei S354C</w:t>
      </w:r>
      <w:r w:rsidR="00A14426" w:rsidRPr="00F81881">
        <w:rPr>
          <w:rFonts w:ascii="Helvetica" w:hAnsi="Helvetica"/>
          <w:color w:val="auto"/>
          <w:sz w:val="20"/>
        </w:rPr>
        <w:t>,</w:t>
      </w:r>
      <w:r w:rsidR="00223D82" w:rsidRPr="00F81881">
        <w:rPr>
          <w:rFonts w:ascii="Helvetica" w:hAnsi="Helvetica"/>
          <w:color w:val="auto"/>
          <w:sz w:val="20"/>
        </w:rPr>
        <w:t xml:space="preserve"> ir antras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mutacijas T366S, L368A, Y407V bei Y349C,</w:t>
      </w:r>
    </w:p>
    <w:p w14:paraId="695A074E" w14:textId="77777777" w:rsidR="00821C71" w:rsidRPr="00F81881" w:rsidRDefault="00223D82" w:rsidP="00F81881">
      <w:pPr>
        <w:widowControl/>
        <w:spacing w:line="360" w:lineRule="auto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>arba</w:t>
      </w:r>
    </w:p>
    <w:p w14:paraId="04E31102" w14:textId="3DB81A73" w:rsidR="00821C71" w:rsidRPr="00F81881" w:rsidRDefault="00F81881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>v</w:t>
      </w:r>
      <w:r w:rsidR="00053CEB" w:rsidRPr="00F81881">
        <w:rPr>
          <w:rFonts w:ascii="Helvetica" w:hAnsi="Helvetica"/>
          <w:color w:val="auto"/>
          <w:sz w:val="20"/>
        </w:rPr>
        <w:t xml:space="preserve">) </w:t>
      </w:r>
      <w:r w:rsidR="00A14426" w:rsidRPr="00F81881">
        <w:rPr>
          <w:rFonts w:ascii="Helvetica" w:hAnsi="Helvetica"/>
          <w:color w:val="auto"/>
          <w:sz w:val="20"/>
        </w:rPr>
        <w:t xml:space="preserve">žmogaus IgG4 poklasio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heterodimerinę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sritį, kur abu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polipeptidai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mutacijas P329G, S228P ir L235E, ir</w:t>
      </w:r>
    </w:p>
    <w:p w14:paraId="0491E1DA" w14:textId="206C46F7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a) </w:t>
      </w:r>
      <w:r w:rsidR="00223D82" w:rsidRPr="00F81881">
        <w:rPr>
          <w:rFonts w:ascii="Helvetica" w:hAnsi="Helvetica"/>
          <w:color w:val="auto"/>
          <w:sz w:val="20"/>
        </w:rPr>
        <w:t xml:space="preserve">vienas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mutaciją T366W</w:t>
      </w:r>
      <w:r w:rsidR="006A3239" w:rsidRPr="00F81881">
        <w:rPr>
          <w:rFonts w:ascii="Helvetica" w:hAnsi="Helvetica"/>
          <w:color w:val="auto"/>
          <w:sz w:val="20"/>
        </w:rPr>
        <w:t>,</w:t>
      </w:r>
      <w:r w:rsidR="00223D82" w:rsidRPr="00F81881">
        <w:rPr>
          <w:rFonts w:ascii="Helvetica" w:hAnsi="Helvetica"/>
          <w:color w:val="auto"/>
          <w:sz w:val="20"/>
        </w:rPr>
        <w:t xml:space="preserve"> ir antras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mutacijas T366S, L368A bei Y407V, arba</w:t>
      </w:r>
    </w:p>
    <w:p w14:paraId="6058FA5A" w14:textId="3D474FA5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b) </w:t>
      </w:r>
      <w:r w:rsidR="00223D82" w:rsidRPr="00F81881">
        <w:rPr>
          <w:rFonts w:ascii="Helvetica" w:hAnsi="Helvetica"/>
          <w:color w:val="auto"/>
          <w:sz w:val="20"/>
        </w:rPr>
        <w:t xml:space="preserve">vienas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mutacijas T366W bei Y349C</w:t>
      </w:r>
      <w:r w:rsidR="006A3239" w:rsidRPr="00F81881">
        <w:rPr>
          <w:rFonts w:ascii="Helvetica" w:hAnsi="Helvetica"/>
          <w:color w:val="auto"/>
          <w:sz w:val="20"/>
        </w:rPr>
        <w:t>,</w:t>
      </w:r>
      <w:r w:rsidR="00223D82" w:rsidRPr="00F81881">
        <w:rPr>
          <w:rFonts w:ascii="Helvetica" w:hAnsi="Helvetica"/>
          <w:color w:val="auto"/>
          <w:sz w:val="20"/>
        </w:rPr>
        <w:t xml:space="preserve"> ir antras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mutacijas T366S, L368A, Y407V bei S354C, arba</w:t>
      </w:r>
    </w:p>
    <w:p w14:paraId="3AF009E8" w14:textId="413A3CBB" w:rsidR="00821C71" w:rsidRPr="00F81881" w:rsidRDefault="00053CEB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lastRenderedPageBreak/>
        <w:t xml:space="preserve">c) </w:t>
      </w:r>
      <w:r w:rsidR="00223D82" w:rsidRPr="00F81881">
        <w:rPr>
          <w:rFonts w:ascii="Helvetica" w:hAnsi="Helvetica"/>
          <w:color w:val="auto"/>
          <w:sz w:val="20"/>
        </w:rPr>
        <w:t xml:space="preserve">vienas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mutacijas T366W bei S354C</w:t>
      </w:r>
      <w:r w:rsidR="006A3239" w:rsidRPr="00F81881">
        <w:rPr>
          <w:rFonts w:ascii="Helvetica" w:hAnsi="Helvetica"/>
          <w:color w:val="auto"/>
          <w:sz w:val="20"/>
        </w:rPr>
        <w:t>,</w:t>
      </w:r>
      <w:r w:rsidR="00223D82" w:rsidRPr="00F81881">
        <w:rPr>
          <w:rFonts w:ascii="Helvetica" w:hAnsi="Helvetica"/>
          <w:color w:val="auto"/>
          <w:sz w:val="20"/>
        </w:rPr>
        <w:t xml:space="preserve"> ir antras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Fc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srities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polipeptidas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apima mutacijas T366S, L368A, Y407V bei Y349C.</w:t>
      </w:r>
    </w:p>
    <w:p w14:paraId="7238ACAB" w14:textId="77777777" w:rsidR="00F81881" w:rsidRPr="00F81881" w:rsidRDefault="00F81881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</w:p>
    <w:p w14:paraId="3DB2132E" w14:textId="03451B0E" w:rsidR="00821C71" w:rsidRPr="00F81881" w:rsidRDefault="00053CEB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10. </w:t>
      </w:r>
      <w:r w:rsidR="00223D82" w:rsidRPr="00F81881">
        <w:rPr>
          <w:rFonts w:ascii="Helvetica" w:hAnsi="Helvetica"/>
          <w:color w:val="auto"/>
          <w:sz w:val="20"/>
        </w:rPr>
        <w:t>Farmacinė kompozicija, apimanti humanizuotą antikūną pagal bet kurį iš 1–9</w:t>
      </w:r>
      <w:r w:rsidR="00F81881" w:rsidRPr="00F81881">
        <w:rPr>
          <w:rFonts w:ascii="Helvetica" w:hAnsi="Helvetica"/>
          <w:color w:val="auto"/>
          <w:sz w:val="20"/>
        </w:rPr>
        <w:t xml:space="preserve"> </w:t>
      </w:r>
      <w:r w:rsidR="00223D82" w:rsidRPr="00F81881">
        <w:rPr>
          <w:rFonts w:ascii="Helvetica" w:hAnsi="Helvetica"/>
          <w:color w:val="auto"/>
          <w:sz w:val="20"/>
        </w:rPr>
        <w:t>punktų ir farmaciniu požiūriu priimtiną nešiklį.</w:t>
      </w:r>
    </w:p>
    <w:p w14:paraId="0D2B902D" w14:textId="77777777" w:rsidR="00F81881" w:rsidRPr="00F81881" w:rsidRDefault="00F81881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</w:p>
    <w:p w14:paraId="53320B0C" w14:textId="77777777" w:rsidR="00F81881" w:rsidRDefault="00F81881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11. </w:t>
      </w:r>
      <w:r w:rsidR="00223D82" w:rsidRPr="00F81881">
        <w:rPr>
          <w:rFonts w:ascii="Helvetica" w:hAnsi="Helvetica"/>
          <w:color w:val="auto"/>
          <w:sz w:val="20"/>
        </w:rPr>
        <w:t>Humanizuotas antikūnas pagal bet kurį iš 1–9 punktų, skirtas naudoti kaip vaistas.</w:t>
      </w:r>
    </w:p>
    <w:p w14:paraId="1879A46A" w14:textId="77777777" w:rsidR="00F81881" w:rsidRDefault="00F81881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</w:p>
    <w:p w14:paraId="5B57B7B9" w14:textId="41DEB95B" w:rsidR="00821C71" w:rsidRPr="00F81881" w:rsidRDefault="00F81881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12. </w:t>
      </w:r>
      <w:r w:rsidR="00223D82" w:rsidRPr="00F81881">
        <w:rPr>
          <w:rFonts w:ascii="Helvetica" w:hAnsi="Helvetica"/>
          <w:color w:val="auto"/>
          <w:sz w:val="20"/>
        </w:rPr>
        <w:t>Humanizuotas antikūnas pagal bet kurį iš 6–9 punktų, skirtas naudoti gydant neurologinį sutrikimą.</w:t>
      </w:r>
    </w:p>
    <w:p w14:paraId="458C388D" w14:textId="77777777" w:rsidR="00F81881" w:rsidRPr="00F81881" w:rsidRDefault="00F81881" w:rsidP="00F81881">
      <w:pPr>
        <w:pStyle w:val="Sraopastraipa"/>
        <w:widowControl/>
        <w:spacing w:line="360" w:lineRule="auto"/>
        <w:ind w:left="0"/>
        <w:contextualSpacing w:val="0"/>
        <w:rPr>
          <w:rFonts w:ascii="Helvetica" w:hAnsi="Helvetica"/>
          <w:color w:val="auto"/>
          <w:sz w:val="20"/>
        </w:rPr>
      </w:pPr>
    </w:p>
    <w:p w14:paraId="1A501D87" w14:textId="4C8CFA6E" w:rsidR="00821C71" w:rsidRPr="00F81881" w:rsidRDefault="00F81881" w:rsidP="00F81881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/>
          <w:color w:val="auto"/>
          <w:sz w:val="20"/>
        </w:rPr>
      </w:pPr>
      <w:r w:rsidRPr="00F81881">
        <w:rPr>
          <w:rFonts w:ascii="Helvetica" w:hAnsi="Helvetica"/>
          <w:color w:val="auto"/>
          <w:sz w:val="20"/>
        </w:rPr>
        <w:t xml:space="preserve">13. </w:t>
      </w:r>
      <w:r w:rsidR="00223D82" w:rsidRPr="00F81881">
        <w:rPr>
          <w:rFonts w:ascii="Helvetica" w:hAnsi="Helvetica"/>
          <w:color w:val="auto"/>
          <w:sz w:val="20"/>
        </w:rPr>
        <w:t xml:space="preserve">Humanizuotas antikūnas, skirtas naudoti pagal 12 punktą, kur neurologinis sutrikimas yra parinktas iš grupės, kurią sudaro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neuropatinis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sutrikimas,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neurodegeneracinė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liga, vėžys, akių ligos sukeltas sutrikimas, traukulių sutrikimas,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lizosomų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 xml:space="preserve"> kaupimo liga, </w:t>
      </w:r>
      <w:proofErr w:type="spellStart"/>
      <w:r w:rsidR="00223D82" w:rsidRPr="00F81881">
        <w:rPr>
          <w:rFonts w:ascii="Helvetica" w:hAnsi="Helvetica"/>
          <w:color w:val="auto"/>
          <w:sz w:val="20"/>
        </w:rPr>
        <w:t>amiloidozė</w:t>
      </w:r>
      <w:proofErr w:type="spellEnd"/>
      <w:r w:rsidR="00223D82" w:rsidRPr="00F81881">
        <w:rPr>
          <w:rFonts w:ascii="Helvetica" w:hAnsi="Helvetica"/>
          <w:color w:val="auto"/>
          <w:sz w:val="20"/>
        </w:rPr>
        <w:t>, virusinė arba mikroorganizmų sukelta liga, išemija, elgesio sutrikimas ir CNS uždegimas.</w:t>
      </w:r>
      <w:r w:rsidR="00F9051F" w:rsidRPr="00F81881">
        <w:rPr>
          <w:rFonts w:ascii="Helvetica" w:hAnsi="Helvetica"/>
          <w:color w:val="auto"/>
          <w:sz w:val="20"/>
        </w:rPr>
        <w:t xml:space="preserve"> </w:t>
      </w:r>
    </w:p>
    <w:sectPr w:rsidR="00821C71" w:rsidRPr="00F81881" w:rsidSect="00F81881">
      <w:pgSz w:w="11907" w:h="16840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096B" w14:textId="77777777" w:rsidR="00457B5C" w:rsidRDefault="00457B5C" w:rsidP="00821C71">
      <w:r>
        <w:separator/>
      </w:r>
    </w:p>
  </w:endnote>
  <w:endnote w:type="continuationSeparator" w:id="0">
    <w:p w14:paraId="1E0E0CC5" w14:textId="77777777" w:rsidR="00457B5C" w:rsidRDefault="00457B5C" w:rsidP="0082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F359" w14:textId="77777777" w:rsidR="00457B5C" w:rsidRDefault="00457B5C" w:rsidP="00821C71">
      <w:r>
        <w:separator/>
      </w:r>
    </w:p>
  </w:footnote>
  <w:footnote w:type="continuationSeparator" w:id="0">
    <w:p w14:paraId="202E941B" w14:textId="77777777" w:rsidR="00457B5C" w:rsidRDefault="00457B5C" w:rsidP="00821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376F"/>
    <w:multiLevelType w:val="hybridMultilevel"/>
    <w:tmpl w:val="C2FE0A88"/>
    <w:lvl w:ilvl="0" w:tplc="2682D6E6">
      <w:start w:val="1"/>
      <w:numFmt w:val="lowerLetter"/>
      <w:lvlText w:val="%1)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2DCD"/>
    <w:multiLevelType w:val="hybridMultilevel"/>
    <w:tmpl w:val="7DA6DD90"/>
    <w:lvl w:ilvl="0" w:tplc="31C82F72">
      <w:start w:val="1"/>
      <w:numFmt w:val="lowerRoman"/>
      <w:lvlText w:val="%1)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6F32"/>
    <w:multiLevelType w:val="hybridMultilevel"/>
    <w:tmpl w:val="3C3ADA04"/>
    <w:lvl w:ilvl="0" w:tplc="F24CEFB2">
      <w:start w:val="1"/>
      <w:numFmt w:val="decimal"/>
      <w:lvlText w:val="%1.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D2F"/>
    <w:multiLevelType w:val="hybridMultilevel"/>
    <w:tmpl w:val="8BD4B14C"/>
    <w:lvl w:ilvl="0" w:tplc="E46A6FA6">
      <w:start w:val="1"/>
      <w:numFmt w:val="lowerLetter"/>
      <w:lvlText w:val="%1)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530B5"/>
    <w:multiLevelType w:val="hybridMultilevel"/>
    <w:tmpl w:val="A05ED036"/>
    <w:lvl w:ilvl="0" w:tplc="9814D15E">
      <w:start w:val="1"/>
      <w:numFmt w:val="lowerRoman"/>
      <w:lvlText w:val="%1)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E2E90"/>
    <w:multiLevelType w:val="hybridMultilevel"/>
    <w:tmpl w:val="8020C472"/>
    <w:lvl w:ilvl="0" w:tplc="EA6A8930">
      <w:start w:val="1"/>
      <w:numFmt w:val="lowerLetter"/>
      <w:lvlText w:val="%1)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A14D8"/>
    <w:multiLevelType w:val="hybridMultilevel"/>
    <w:tmpl w:val="F57E868A"/>
    <w:lvl w:ilvl="0" w:tplc="51CEA39A">
      <w:start w:val="1"/>
      <w:numFmt w:val="lowerLetter"/>
      <w:lvlText w:val="%1)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B0220"/>
    <w:multiLevelType w:val="hybridMultilevel"/>
    <w:tmpl w:val="A9907778"/>
    <w:lvl w:ilvl="0" w:tplc="7EF01B5A">
      <w:start w:val="1"/>
      <w:numFmt w:val="lowerLetter"/>
      <w:lvlText w:val="%1)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831F4"/>
    <w:multiLevelType w:val="hybridMultilevel"/>
    <w:tmpl w:val="F0E62C00"/>
    <w:lvl w:ilvl="0" w:tplc="04B6F3D6">
      <w:start w:val="1"/>
      <w:numFmt w:val="lowerRoman"/>
      <w:lvlText w:val="%1)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94"/>
    <w:rsid w:val="00053CEB"/>
    <w:rsid w:val="00110529"/>
    <w:rsid w:val="00223D82"/>
    <w:rsid w:val="00294E85"/>
    <w:rsid w:val="00305FEA"/>
    <w:rsid w:val="003417EF"/>
    <w:rsid w:val="00457B5C"/>
    <w:rsid w:val="00545225"/>
    <w:rsid w:val="0059536F"/>
    <w:rsid w:val="0065768F"/>
    <w:rsid w:val="006A3239"/>
    <w:rsid w:val="006A6852"/>
    <w:rsid w:val="006E5BDC"/>
    <w:rsid w:val="007E0A98"/>
    <w:rsid w:val="00821C71"/>
    <w:rsid w:val="00894B94"/>
    <w:rsid w:val="00897F5C"/>
    <w:rsid w:val="00977AF4"/>
    <w:rsid w:val="00A14426"/>
    <w:rsid w:val="00CF11C6"/>
    <w:rsid w:val="00D1163E"/>
    <w:rsid w:val="00D246DA"/>
    <w:rsid w:val="00DF020E"/>
    <w:rsid w:val="00E318D8"/>
    <w:rsid w:val="00F81881"/>
    <w:rsid w:val="00F9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E18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3D82"/>
    <w:pPr>
      <w:widowControl w:val="0"/>
      <w:spacing w:after="0" w:line="240" w:lineRule="auto"/>
      <w:jc w:val="both"/>
    </w:pPr>
    <w:rPr>
      <w:rFonts w:ascii="Arial" w:eastAsia="Arial Unicode MS" w:hAnsi="Arial" w:cs="Arial"/>
      <w:color w:val="000000"/>
      <w:sz w:val="18"/>
      <w:szCs w:val="24"/>
      <w:lang w:eastAsia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23D8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21C71"/>
    <w:pPr>
      <w:tabs>
        <w:tab w:val="center" w:pos="4252"/>
        <w:tab w:val="right" w:pos="8504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1C71"/>
    <w:rPr>
      <w:rFonts w:ascii="Arial" w:eastAsia="Arial Unicode MS" w:hAnsi="Arial" w:cs="Arial"/>
      <w:color w:val="000000"/>
      <w:sz w:val="18"/>
      <w:szCs w:val="24"/>
      <w:lang w:eastAsia="en-US" w:bidi="en-US"/>
    </w:rPr>
  </w:style>
  <w:style w:type="paragraph" w:styleId="Porat">
    <w:name w:val="footer"/>
    <w:basedOn w:val="prastasis"/>
    <w:link w:val="PoratDiagrama"/>
    <w:uiPriority w:val="99"/>
    <w:unhideWhenUsed/>
    <w:rsid w:val="00821C71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1C71"/>
    <w:rPr>
      <w:rFonts w:ascii="Arial" w:eastAsia="Arial Unicode MS" w:hAnsi="Arial" w:cs="Arial"/>
      <w:color w:val="000000"/>
      <w:sz w:val="18"/>
      <w:szCs w:val="24"/>
      <w:lang w:eastAsia="en-US" w:bidi="en-US"/>
    </w:rPr>
  </w:style>
  <w:style w:type="paragraph" w:styleId="Pataisymai">
    <w:name w:val="Revision"/>
    <w:hidden/>
    <w:uiPriority w:val="99"/>
    <w:semiHidden/>
    <w:rsid w:val="00E318D8"/>
    <w:pPr>
      <w:spacing w:after="0" w:line="240" w:lineRule="auto"/>
    </w:pPr>
    <w:rPr>
      <w:rFonts w:ascii="Arial" w:eastAsia="Arial Unicode MS" w:hAnsi="Arial" w:cs="Arial"/>
      <w:color w:val="000000"/>
      <w:sz w:val="18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5600</Characters>
  <Application>Microsoft Office Word</Application>
  <DocSecurity>0</DocSecurity>
  <Lines>101</Lines>
  <Paragraphs>60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2022-02-15T14:30:00Z</dcterms:created>
  <dcterms:modified xsi:type="dcterms:W3CDTF">2022-03-04T09:54:00Z</dcterms:modified>
</cp:coreProperties>
</file>