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objektu yra spinduliavimu sukietinami oligomerai, kurie gaunami iš @a) bent jau vieno hidroksi- ir/arba amino funkcinę grupę turinčio junginio su 3-4 funkcinėmis grupėmis ir vidutine molėkuline mase nuo 500 iki 4000,@b) bent jau vieno junginio su dviem hidroksilo ir/arba amino grupėmis vienai molėkulei, turinčiam molėkulinę masę nuo 200 iki 4000,@c) bent jau vieno nesotaus monoetileninio junginio, turinčio grupę su aktyviu vandeniliu vienai molėkulei, turinčiam molėkulinę masę nuo 116 iki 1000,@d) alifatinio ir/arba cikloalifatinio diizocianato,@besiskiriantys tuo, kad komponentės a-d naudojamos tokiais kiekiais, kad@1) molinis santykis tarp komponenčių a ir d būtų nuo 0,1 iki 1,1,@2) molinis santykis tarp komponenčių c ir a būtų tarp 2,0 iki 10:1,@3) ekvivalentinis santykis tarp komponentės diizocianatinių grupių ir hidroksilo ir/arba amino grupių komponenčių nio a iki c būtų nuo 0,9 iki 1,0.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