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8573" w14:textId="77777777" w:rsidR="00FB5D60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 w:cs="Calibri"/>
          <w:sz w:val="20"/>
          <w:lang w:val="lt-LT"/>
        </w:rPr>
      </w:pPr>
      <w:r w:rsidRPr="003E3286">
        <w:rPr>
          <w:rFonts w:ascii="Helvetica" w:hAnsi="Helvetica" w:cs="Calibri"/>
          <w:sz w:val="20"/>
          <w:lang w:val="lt-LT"/>
        </w:rPr>
        <w:t xml:space="preserve">1. </w:t>
      </w:r>
      <w:r w:rsidR="005119AC" w:rsidRPr="003E3286">
        <w:rPr>
          <w:rFonts w:ascii="Helvetica" w:hAnsi="Helvetica" w:cs="Calibri"/>
          <w:sz w:val="20"/>
          <w:lang w:val="lt-LT"/>
        </w:rPr>
        <w:t>Išskirtas</w:t>
      </w:r>
      <w:r w:rsidR="00B0498D" w:rsidRPr="003E3286">
        <w:rPr>
          <w:rFonts w:ascii="Helvetica" w:hAnsi="Helvetica" w:cs="Calibri"/>
          <w:sz w:val="20"/>
          <w:lang w:val="lt-LT"/>
        </w:rPr>
        <w:t xml:space="preserve"> antikūnas arba jo antigeną surišantis fragmentas, apimantis</w:t>
      </w:r>
      <w:r w:rsidR="00FB5D60" w:rsidRPr="003E3286">
        <w:rPr>
          <w:rFonts w:ascii="Helvetica" w:hAnsi="Helvetica" w:cs="Calibri"/>
          <w:sz w:val="20"/>
          <w:lang w:val="lt-LT"/>
        </w:rPr>
        <w:t xml:space="preserve"> </w:t>
      </w:r>
    </w:p>
    <w:p w14:paraId="76BE6112" w14:textId="77777777" w:rsidR="005119AC" w:rsidRPr="003E3286" w:rsidRDefault="005119AC" w:rsidP="003E3286">
      <w:pPr>
        <w:pStyle w:val="Sraopastraipa"/>
        <w:spacing w:line="360" w:lineRule="auto"/>
        <w:ind w:left="0"/>
        <w:jc w:val="both"/>
        <w:rPr>
          <w:rFonts w:ascii="Helvetica" w:eastAsia="MS Gothic" w:hAnsi="Helvetica" w:cs="Calibri"/>
          <w:sz w:val="20"/>
          <w:lang w:val="lt-LT"/>
        </w:rPr>
      </w:pPr>
      <w:r w:rsidRPr="003E3286">
        <w:rPr>
          <w:rFonts w:ascii="Helvetica" w:hAnsi="Helvetica" w:cs="Calibri"/>
          <w:sz w:val="20"/>
          <w:lang w:val="lt-LT"/>
        </w:rPr>
        <w:t>a</w:t>
      </w:r>
      <w:r w:rsidR="00FB5D60" w:rsidRPr="003E3286">
        <w:rPr>
          <w:rFonts w:ascii="Helvetica" w:hAnsi="Helvetica" w:cs="Calibri"/>
          <w:sz w:val="20"/>
          <w:lang w:val="lt-LT"/>
        </w:rPr>
        <w:t>)</w:t>
      </w:r>
      <w:r w:rsidRPr="003E3286">
        <w:rPr>
          <w:rFonts w:ascii="Helvetica" w:hAnsi="Helvetica" w:cs="Calibri"/>
          <w:sz w:val="20"/>
          <w:lang w:val="lt-LT"/>
        </w:rPr>
        <w:t xml:space="preserve"> sunkiosios grandinės kintamąją sritį, apimančią CDR1 iš </w:t>
      </w:r>
      <w:r w:rsidRPr="003E3286">
        <w:rPr>
          <w:rFonts w:ascii="Helvetica" w:eastAsia="MS Gothic" w:hAnsi="Helvetica" w:cs="Calibri"/>
          <w:sz w:val="20"/>
          <w:lang w:val="lt-LT"/>
        </w:rPr>
        <w:t>SEQ ID N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13, CDR2 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iš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SEQ ID N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15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 xml:space="preserve"> ir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CDR3 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iš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SEQ ID N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17; 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ir lengvosios</w:t>
      </w:r>
      <w:r w:rsidR="000E1485" w:rsidRPr="003E3286">
        <w:rPr>
          <w:rFonts w:ascii="Helvetica" w:hAnsi="Helvetica" w:cs="Calibri"/>
          <w:sz w:val="20"/>
          <w:lang w:val="lt-LT"/>
        </w:rPr>
        <w:t xml:space="preserve"> grandinės kintamąją sritį, apimančią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CDR1 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iš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SEQ ID N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19, CDR2 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iš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SEQ ID N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21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 xml:space="preserve"> ir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CDR3 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iš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SEQ ID N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23; </w:t>
      </w:r>
      <w:r w:rsidR="000E1485" w:rsidRPr="003E3286">
        <w:rPr>
          <w:rFonts w:ascii="Helvetica" w:eastAsia="MS Gothic" w:hAnsi="Helvetica" w:cs="Calibri"/>
          <w:sz w:val="20"/>
          <w:lang w:val="lt-LT"/>
        </w:rPr>
        <w:t>arba</w:t>
      </w:r>
    </w:p>
    <w:p w14:paraId="009ED6A5" w14:textId="77777777" w:rsidR="000E1485" w:rsidRPr="003E3286" w:rsidRDefault="000E1485" w:rsidP="003E3286">
      <w:pPr>
        <w:pStyle w:val="Sraopastraipa"/>
        <w:spacing w:line="360" w:lineRule="auto"/>
        <w:ind w:left="0"/>
        <w:jc w:val="both"/>
        <w:rPr>
          <w:rFonts w:ascii="Helvetica" w:eastAsia="MS Gothic" w:hAnsi="Helvetica" w:cs="Calibri"/>
          <w:sz w:val="20"/>
          <w:lang w:val="lt-LT"/>
        </w:rPr>
      </w:pPr>
      <w:r w:rsidRPr="003E3286">
        <w:rPr>
          <w:rFonts w:ascii="Helvetica" w:eastAsia="MS Gothic" w:hAnsi="Helvetica" w:cs="Calibri"/>
          <w:sz w:val="20"/>
          <w:lang w:val="lt-LT"/>
        </w:rPr>
        <w:t>b) sunkiosios grandinės kintamąją sritį, apimančią CDR1 iš SEQ ID Nr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37, CDR2 iš SEQ ID Nr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39 ir CDR3 iš SEQ ID Nr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41, ir lengvosios grandinės kintamąją sritį, apimančią CDR1 iš SEQ ID Nr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19, CDR2 iš SEQ ID Nr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21 ir CDR3 iš SEQ ID Nr</w:t>
      </w:r>
      <w:r w:rsidR="00C869C7" w:rsidRPr="003E3286">
        <w:rPr>
          <w:rFonts w:ascii="Helvetica" w:eastAsia="MS Gothic" w:hAnsi="Helvetica" w:cs="Calibri"/>
          <w:sz w:val="20"/>
          <w:lang w:val="lt-LT"/>
        </w:rPr>
        <w:t>.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23;</w:t>
      </w:r>
    </w:p>
    <w:p w14:paraId="689D2904" w14:textId="77777777" w:rsidR="002305DD" w:rsidRPr="003E3286" w:rsidRDefault="000E1485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>kur antikūnai prisiriša specifiškai prie PD-L1</w:t>
      </w:r>
      <w:r w:rsidR="00FB5D60" w:rsidRPr="003E3286">
        <w:rPr>
          <w:rFonts w:ascii="Helvetica" w:hAnsi="Helvetica"/>
          <w:sz w:val="20"/>
          <w:lang w:val="lt-LT"/>
        </w:rPr>
        <w:t>.</w:t>
      </w:r>
    </w:p>
    <w:p w14:paraId="703B7DAE" w14:textId="77777777" w:rsidR="002C4F92" w:rsidRPr="003E3286" w:rsidRDefault="002C4F92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355171D9" w14:textId="77777777" w:rsidR="001E4F0E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 w:cs="Calibri"/>
          <w:sz w:val="20"/>
          <w:lang w:val="lt-LT"/>
        </w:rPr>
        <w:t xml:space="preserve">2. </w:t>
      </w:r>
      <w:r w:rsidR="001E4F0E" w:rsidRPr="003E3286">
        <w:rPr>
          <w:rFonts w:ascii="Helvetica" w:hAnsi="Helvetica" w:cs="Calibri"/>
          <w:sz w:val="20"/>
          <w:lang w:val="lt-LT"/>
        </w:rPr>
        <w:t>Antikūnas arba jo antigeną surišantis fragmentas</w:t>
      </w:r>
      <w:r w:rsidR="00075F8A" w:rsidRPr="003E3286">
        <w:rPr>
          <w:rFonts w:ascii="Helvetica" w:hAnsi="Helvetica"/>
          <w:sz w:val="20"/>
          <w:lang w:val="lt-LT"/>
        </w:rPr>
        <w:t xml:space="preserve"> pagal 1 punktą, </w:t>
      </w:r>
      <w:r w:rsidR="001E4F0E" w:rsidRPr="003E3286">
        <w:rPr>
          <w:rFonts w:ascii="Helvetica" w:hAnsi="Helvetica"/>
          <w:sz w:val="20"/>
          <w:lang w:val="lt-LT"/>
        </w:rPr>
        <w:t>apimantis</w:t>
      </w:r>
    </w:p>
    <w:p w14:paraId="10897291" w14:textId="77777777" w:rsidR="001E4F0E" w:rsidRPr="003E3286" w:rsidRDefault="001E4F0E" w:rsidP="003E3286">
      <w:pPr>
        <w:pStyle w:val="Sraopastraipa"/>
        <w:spacing w:line="360" w:lineRule="auto"/>
        <w:ind w:left="0"/>
        <w:jc w:val="both"/>
        <w:rPr>
          <w:rFonts w:ascii="Helvetica" w:eastAsia="MS Gothic" w:hAnsi="Helvetica" w:cs="Calibri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a) </w:t>
      </w:r>
      <w:r w:rsidRPr="003E3286">
        <w:rPr>
          <w:rFonts w:ascii="Helvetica" w:hAnsi="Helvetica" w:cs="Calibri"/>
          <w:sz w:val="20"/>
          <w:lang w:val="lt-LT"/>
        </w:rPr>
        <w:t xml:space="preserve">sunkiosios grandinės kintamąją sritį, apimančią </w:t>
      </w:r>
      <w:r w:rsidRPr="003E3286">
        <w:rPr>
          <w:rFonts w:ascii="Helvetica" w:eastAsia="MS Gothic" w:hAnsi="Helvetica" w:cs="Calibri"/>
          <w:sz w:val="20"/>
          <w:lang w:val="lt-LT"/>
        </w:rPr>
        <w:t>SEQ ID Nr. 47, ir lengvosios</w:t>
      </w:r>
      <w:r w:rsidRPr="003E3286">
        <w:rPr>
          <w:rFonts w:ascii="Helvetica" w:hAnsi="Helvetica" w:cs="Calibri"/>
          <w:sz w:val="20"/>
          <w:lang w:val="lt-LT"/>
        </w:rPr>
        <w:t xml:space="preserve"> grandinės kintamąją sritį, apimančią</w:t>
      </w:r>
      <w:r w:rsidRPr="003E3286">
        <w:rPr>
          <w:rFonts w:ascii="Helvetica" w:eastAsia="MS Gothic" w:hAnsi="Helvetica" w:cs="Calibri"/>
          <w:sz w:val="20"/>
          <w:lang w:val="lt-LT"/>
        </w:rPr>
        <w:t xml:space="preserve"> SEQ ID Nr. 49; arba</w:t>
      </w:r>
    </w:p>
    <w:p w14:paraId="03FCEB43" w14:textId="77777777" w:rsidR="00CC77B5" w:rsidRPr="003E3286" w:rsidRDefault="001E4F0E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eastAsia="MS Gothic" w:hAnsi="Helvetica" w:cs="Calibri"/>
          <w:sz w:val="20"/>
          <w:lang w:val="lt-LT"/>
        </w:rPr>
        <w:t>b) sunkiosios grandinės kintamąją sritį, apimančią SEQ ID Nr. 55, ir lengvosios grandinės kintamąją sritį, apimančią SEQ ID Nr. 49</w:t>
      </w:r>
      <w:r w:rsidR="00075F8A" w:rsidRPr="003E3286">
        <w:rPr>
          <w:rFonts w:ascii="Helvetica" w:hAnsi="Helvetica"/>
          <w:sz w:val="20"/>
          <w:lang w:val="lt-LT"/>
        </w:rPr>
        <w:t>.</w:t>
      </w:r>
    </w:p>
    <w:p w14:paraId="18DA20DD" w14:textId="77777777" w:rsidR="008C14A8" w:rsidRPr="003E3286" w:rsidRDefault="008C14A8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032B889E" w14:textId="77777777" w:rsidR="006A0972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3. </w:t>
      </w:r>
      <w:r w:rsidR="00AA2303" w:rsidRPr="003E3286">
        <w:rPr>
          <w:rFonts w:ascii="Helvetica" w:hAnsi="Helvetica"/>
          <w:sz w:val="20"/>
          <w:lang w:val="lt-LT"/>
        </w:rPr>
        <w:t xml:space="preserve">Antikūnas arba jo antigeną surišantis fragmentas pagal bet kurį iš ankstesnių punktų, galintis specifiškai prisirišti prie žmogaus PD-L1, esant </w:t>
      </w:r>
      <w:proofErr w:type="spellStart"/>
      <w:r w:rsidR="00AA2303" w:rsidRPr="003E3286">
        <w:rPr>
          <w:rFonts w:ascii="Helvetica" w:hAnsi="Helvetica"/>
          <w:sz w:val="20"/>
          <w:lang w:val="lt-LT"/>
        </w:rPr>
        <w:t>Kd</w:t>
      </w:r>
      <w:proofErr w:type="spellEnd"/>
      <w:r w:rsidR="00AA2303" w:rsidRPr="003E3286">
        <w:rPr>
          <w:rFonts w:ascii="Helvetica" w:hAnsi="Helvetica"/>
          <w:sz w:val="20"/>
          <w:lang w:val="lt-LT"/>
        </w:rPr>
        <w:t xml:space="preserve"> reikšmei ne didesnei nei 10-8 M, išmatuotai plazminio rezonansinio surišimo tyrimu;</w:t>
      </w:r>
    </w:p>
    <w:p w14:paraId="3824D011" w14:textId="77777777" w:rsidR="00AA2303" w:rsidRPr="003E3286" w:rsidRDefault="00AA2303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kuris prisiriša prie beždžionės PD-L1, </w:t>
      </w:r>
      <w:r w:rsidR="004B328D" w:rsidRPr="003E3286">
        <w:rPr>
          <w:rFonts w:ascii="Helvetica" w:hAnsi="Helvetica"/>
          <w:sz w:val="20"/>
          <w:lang w:val="lt-LT"/>
        </w:rPr>
        <w:t>kai</w:t>
      </w:r>
      <w:r w:rsidRPr="003E3286">
        <w:rPr>
          <w:rFonts w:ascii="Helvetica" w:hAnsi="Helvetica"/>
          <w:sz w:val="20"/>
          <w:lang w:val="lt-LT"/>
        </w:rPr>
        <w:t xml:space="preserve"> EC50 </w:t>
      </w:r>
      <w:r w:rsidR="004B328D" w:rsidRPr="003E3286">
        <w:rPr>
          <w:rFonts w:ascii="Helvetica" w:hAnsi="Helvetica"/>
          <w:sz w:val="20"/>
          <w:lang w:val="lt-LT"/>
        </w:rPr>
        <w:t>yra</w:t>
      </w:r>
      <w:r w:rsidRPr="003E3286">
        <w:rPr>
          <w:rFonts w:ascii="Helvetica" w:hAnsi="Helvetica"/>
          <w:sz w:val="20"/>
          <w:lang w:val="lt-LT"/>
        </w:rPr>
        <w:t xml:space="preserve"> ne didesn</w:t>
      </w:r>
      <w:r w:rsidR="004B328D" w:rsidRPr="003E3286">
        <w:rPr>
          <w:rFonts w:ascii="Helvetica" w:hAnsi="Helvetica"/>
          <w:sz w:val="20"/>
          <w:lang w:val="lt-LT"/>
        </w:rPr>
        <w:t>is</w:t>
      </w:r>
      <w:r w:rsidRPr="003E3286">
        <w:rPr>
          <w:rFonts w:ascii="Helvetica" w:hAnsi="Helvetica"/>
          <w:sz w:val="20"/>
          <w:lang w:val="lt-LT"/>
        </w:rPr>
        <w:t xml:space="preserve"> nei 10 </w:t>
      </w:r>
      <w:proofErr w:type="spellStart"/>
      <w:r w:rsidRPr="003E3286">
        <w:rPr>
          <w:rFonts w:ascii="Helvetica" w:hAnsi="Helvetica"/>
          <w:sz w:val="20"/>
          <w:lang w:val="lt-LT"/>
        </w:rPr>
        <w:t>nM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 arba ne didesn</w:t>
      </w:r>
      <w:r w:rsidR="004B328D" w:rsidRPr="003E3286">
        <w:rPr>
          <w:rFonts w:ascii="Helvetica" w:hAnsi="Helvetica"/>
          <w:sz w:val="20"/>
          <w:lang w:val="lt-LT"/>
        </w:rPr>
        <w:t>is</w:t>
      </w:r>
      <w:r w:rsidRPr="003E3286">
        <w:rPr>
          <w:rFonts w:ascii="Helvetica" w:hAnsi="Helvetica"/>
          <w:sz w:val="20"/>
          <w:lang w:val="lt-LT"/>
        </w:rPr>
        <w:t xml:space="preserve"> nei 1 </w:t>
      </w:r>
      <w:proofErr w:type="spellStart"/>
      <w:r w:rsidRPr="003E3286">
        <w:rPr>
          <w:rFonts w:ascii="Helvetica" w:hAnsi="Helvetica"/>
          <w:sz w:val="20"/>
          <w:lang w:val="lt-LT"/>
        </w:rPr>
        <w:t>nM</w:t>
      </w:r>
      <w:proofErr w:type="spellEnd"/>
      <w:r w:rsidRPr="003E3286">
        <w:rPr>
          <w:rFonts w:ascii="Helvetica" w:hAnsi="Helvetica"/>
          <w:sz w:val="20"/>
          <w:lang w:val="lt-LT"/>
        </w:rPr>
        <w:t>, ir kuris neprisiriša prie pelės PD-L1;</w:t>
      </w:r>
    </w:p>
    <w:p w14:paraId="774EFEA1" w14:textId="77777777" w:rsidR="00AA2303" w:rsidRPr="003E3286" w:rsidRDefault="00AA2303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gali slopinti žmogaus arba beždžionės PD-L1 prisijungimą prie jo receptoriaus, kai IC50 yra ne didesnis kaip 100 </w:t>
      </w:r>
      <w:proofErr w:type="spellStart"/>
      <w:r w:rsidRPr="003E3286">
        <w:rPr>
          <w:rFonts w:ascii="Helvetica" w:hAnsi="Helvetica"/>
          <w:sz w:val="20"/>
          <w:lang w:val="lt-LT"/>
        </w:rPr>
        <w:t>nM</w:t>
      </w:r>
      <w:proofErr w:type="spellEnd"/>
      <w:r w:rsidRPr="003E3286">
        <w:rPr>
          <w:rFonts w:ascii="Helvetica" w:hAnsi="Helvetica"/>
          <w:sz w:val="20"/>
          <w:lang w:val="lt-LT"/>
        </w:rPr>
        <w:t>;</w:t>
      </w:r>
    </w:p>
    <w:p w14:paraId="2C8B7142" w14:textId="77777777" w:rsidR="004B328D" w:rsidRPr="003E3286" w:rsidRDefault="004B328D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>kuris neprisiriša prie PD-L2;</w:t>
      </w:r>
    </w:p>
    <w:p w14:paraId="7C84B3BC" w14:textId="77777777" w:rsidR="004B328D" w:rsidRPr="003E3286" w:rsidRDefault="004B328D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>kuris net</w:t>
      </w:r>
      <w:r w:rsidR="00F13512" w:rsidRPr="003E3286">
        <w:rPr>
          <w:rFonts w:ascii="Helvetica" w:hAnsi="Helvetica"/>
          <w:sz w:val="20"/>
          <w:lang w:val="lt-LT"/>
        </w:rPr>
        <w:t>arpininkauja</w:t>
      </w:r>
      <w:r w:rsidRPr="003E3286">
        <w:rPr>
          <w:rFonts w:ascii="Helvetica" w:hAnsi="Helvetica"/>
          <w:sz w:val="20"/>
          <w:lang w:val="lt-LT"/>
        </w:rPr>
        <w:t xml:space="preserve"> ADCC ar CDC arba abiem;</w:t>
      </w:r>
    </w:p>
    <w:p w14:paraId="09F02D6F" w14:textId="77777777" w:rsidR="004B328D" w:rsidRPr="003E3286" w:rsidRDefault="004B328D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kuris yra visiškai žmogaus </w:t>
      </w:r>
      <w:proofErr w:type="spellStart"/>
      <w:r w:rsidRPr="003E3286">
        <w:rPr>
          <w:rFonts w:ascii="Helvetica" w:hAnsi="Helvetica"/>
          <w:sz w:val="20"/>
          <w:lang w:val="lt-LT"/>
        </w:rPr>
        <w:t>monokloninis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 antikūnas, </w:t>
      </w:r>
      <w:r w:rsidR="00F13512" w:rsidRPr="003E3286">
        <w:rPr>
          <w:rFonts w:ascii="Helvetica" w:hAnsi="Helvetica"/>
          <w:sz w:val="20"/>
          <w:lang w:val="lt-LT"/>
        </w:rPr>
        <w:t>geriausiai</w:t>
      </w:r>
      <w:r w:rsidRPr="003E3286">
        <w:rPr>
          <w:rFonts w:ascii="Helvetica" w:hAnsi="Helvetica"/>
          <w:sz w:val="20"/>
          <w:lang w:val="lt-LT"/>
        </w:rPr>
        <w:t xml:space="preserve">, kai visiškai žmogaus </w:t>
      </w:r>
      <w:proofErr w:type="spellStart"/>
      <w:r w:rsidRPr="003E3286">
        <w:rPr>
          <w:rFonts w:ascii="Helvetica" w:hAnsi="Helvetica"/>
          <w:sz w:val="20"/>
          <w:lang w:val="lt-LT"/>
        </w:rPr>
        <w:t>monokloninis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 antikūnas yra </w:t>
      </w:r>
      <w:r w:rsidR="00F13512" w:rsidRPr="003E3286">
        <w:rPr>
          <w:rFonts w:ascii="Helvetica" w:hAnsi="Helvetica"/>
          <w:sz w:val="20"/>
          <w:lang w:val="lt-LT"/>
        </w:rPr>
        <w:t xml:space="preserve">pagamintas </w:t>
      </w:r>
      <w:r w:rsidRPr="003E3286">
        <w:rPr>
          <w:rFonts w:ascii="Helvetica" w:hAnsi="Helvetica"/>
          <w:sz w:val="20"/>
          <w:lang w:val="lt-LT"/>
        </w:rPr>
        <w:t>transgeninės žiurkės;</w:t>
      </w:r>
    </w:p>
    <w:p w14:paraId="5E0BB1CC" w14:textId="77777777" w:rsidR="004B328D" w:rsidRPr="003E3286" w:rsidRDefault="004B328D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ir </w:t>
      </w:r>
      <w:r w:rsidR="00174A34" w:rsidRPr="003E3286">
        <w:rPr>
          <w:rFonts w:ascii="Helvetica" w:hAnsi="Helvetica"/>
          <w:sz w:val="20"/>
          <w:lang w:val="lt-LT"/>
        </w:rPr>
        <w:t xml:space="preserve">kuris </w:t>
      </w:r>
      <w:r w:rsidRPr="003E3286">
        <w:rPr>
          <w:rFonts w:ascii="Helvetica" w:hAnsi="Helvetica"/>
          <w:sz w:val="20"/>
          <w:lang w:val="lt-LT"/>
        </w:rPr>
        <w:t xml:space="preserve">jungiasi prie </w:t>
      </w:r>
      <w:proofErr w:type="spellStart"/>
      <w:r w:rsidRPr="003E3286">
        <w:rPr>
          <w:rFonts w:ascii="Helvetica" w:hAnsi="Helvetica"/>
          <w:sz w:val="20"/>
          <w:lang w:val="lt-LT"/>
        </w:rPr>
        <w:t>epitopo</w:t>
      </w:r>
      <w:proofErr w:type="spellEnd"/>
      <w:r w:rsidRPr="003E3286">
        <w:rPr>
          <w:rFonts w:ascii="Helvetica" w:hAnsi="Helvetica"/>
          <w:sz w:val="20"/>
          <w:lang w:val="lt-LT"/>
        </w:rPr>
        <w:t>, apimančio šias PD-L1 aminorūgščių liekanas: E58, E60, D61, K62, N63 ir R113</w:t>
      </w:r>
      <w:r w:rsidR="00174A34" w:rsidRPr="003E3286">
        <w:rPr>
          <w:rFonts w:ascii="Helvetica" w:hAnsi="Helvetica"/>
          <w:sz w:val="20"/>
          <w:lang w:val="lt-LT"/>
        </w:rPr>
        <w:t>.</w:t>
      </w:r>
    </w:p>
    <w:p w14:paraId="01B0BAFA" w14:textId="77777777" w:rsidR="00317AC6" w:rsidRPr="003E3286" w:rsidRDefault="00317AC6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7401B074" w14:textId="77777777" w:rsidR="00317AC6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4. </w:t>
      </w:r>
      <w:r w:rsidR="00B721E0" w:rsidRPr="003E3286">
        <w:rPr>
          <w:rFonts w:ascii="Helvetica" w:hAnsi="Helvetica"/>
          <w:sz w:val="20"/>
          <w:lang w:val="lt-LT"/>
        </w:rPr>
        <w:t>Antikūnas arba jo antigeną surišantis fragmentas pagal bet kurį iš ankstesnių punktų, galintis blokuoti žmogaus PD-L1 prisijungimą prie jo receptoriaus ir tokiu būdu užtikrinti bent vieną iš šių veiksmų:</w:t>
      </w:r>
    </w:p>
    <w:p w14:paraId="7FDB55B7" w14:textId="77777777" w:rsidR="00B721E0" w:rsidRPr="003E3286" w:rsidRDefault="00B721E0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>a) IL-2 gamybos skatinimą CD4</w:t>
      </w:r>
      <w:r w:rsidRPr="003E3286">
        <w:rPr>
          <w:rFonts w:ascii="Helvetica" w:hAnsi="Helvetica"/>
          <w:sz w:val="20"/>
          <w:vertAlign w:val="superscript"/>
          <w:lang w:val="lt-LT"/>
        </w:rPr>
        <w:t>+</w:t>
      </w:r>
      <w:r w:rsidRPr="003E3286">
        <w:rPr>
          <w:rFonts w:ascii="Helvetica" w:hAnsi="Helvetica"/>
          <w:sz w:val="20"/>
          <w:lang w:val="lt-LT"/>
        </w:rPr>
        <w:t>T ląstelėse;</w:t>
      </w:r>
    </w:p>
    <w:p w14:paraId="1C743CE7" w14:textId="77777777" w:rsidR="00B721E0" w:rsidRPr="003E3286" w:rsidRDefault="00B721E0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b) </w:t>
      </w:r>
      <w:proofErr w:type="spellStart"/>
      <w:r w:rsidRPr="003E3286">
        <w:rPr>
          <w:rFonts w:ascii="Helvetica" w:hAnsi="Helvetica"/>
          <w:sz w:val="20"/>
          <w:lang w:val="lt-LT"/>
        </w:rPr>
        <w:t>IFNγ</w:t>
      </w:r>
      <w:proofErr w:type="spellEnd"/>
      <w:r w:rsidRPr="003E3286">
        <w:rPr>
          <w:rFonts w:ascii="Helvetica" w:hAnsi="Helvetica"/>
          <w:sz w:val="20"/>
          <w:lang w:val="lt-LT"/>
        </w:rPr>
        <w:t> gamybos skatinimą CD4</w:t>
      </w:r>
      <w:r w:rsidRPr="003E3286">
        <w:rPr>
          <w:rFonts w:ascii="Helvetica" w:hAnsi="Helvetica"/>
          <w:sz w:val="20"/>
          <w:vertAlign w:val="superscript"/>
          <w:lang w:val="lt-LT"/>
        </w:rPr>
        <w:t>+</w:t>
      </w:r>
      <w:r w:rsidRPr="003E3286">
        <w:rPr>
          <w:rFonts w:ascii="Helvetica" w:hAnsi="Helvetica"/>
          <w:sz w:val="20"/>
          <w:lang w:val="lt-LT"/>
        </w:rPr>
        <w:t>T ląstelėse;</w:t>
      </w:r>
    </w:p>
    <w:p w14:paraId="3251214B" w14:textId="77777777" w:rsidR="00B721E0" w:rsidRPr="003E3286" w:rsidRDefault="00B721E0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>c) CD4</w:t>
      </w:r>
      <w:r w:rsidRPr="003E3286">
        <w:rPr>
          <w:rFonts w:ascii="Helvetica" w:hAnsi="Helvetica"/>
          <w:sz w:val="20"/>
          <w:vertAlign w:val="superscript"/>
          <w:lang w:val="lt-LT"/>
        </w:rPr>
        <w:t>+</w:t>
      </w:r>
      <w:r w:rsidRPr="003E3286">
        <w:rPr>
          <w:rFonts w:ascii="Helvetica" w:hAnsi="Helvetica"/>
          <w:sz w:val="20"/>
          <w:lang w:val="lt-LT"/>
        </w:rPr>
        <w:t xml:space="preserve">T ląstelių </w:t>
      </w:r>
      <w:proofErr w:type="spellStart"/>
      <w:r w:rsidRPr="003E3286">
        <w:rPr>
          <w:rFonts w:ascii="Helvetica" w:hAnsi="Helvetica"/>
          <w:sz w:val="20"/>
          <w:lang w:val="lt-LT"/>
        </w:rPr>
        <w:t>proliferacijos</w:t>
      </w:r>
      <w:proofErr w:type="spellEnd"/>
      <w:r w:rsidR="003E3286" w:rsidRPr="003E3286">
        <w:rPr>
          <w:rFonts w:ascii="Helvetica" w:hAnsi="Helvetica"/>
          <w:sz w:val="20"/>
          <w:lang w:val="lt-LT"/>
        </w:rPr>
        <w:t xml:space="preserve"> </w:t>
      </w:r>
      <w:r w:rsidRPr="003E3286">
        <w:rPr>
          <w:rFonts w:ascii="Helvetica" w:hAnsi="Helvetica"/>
          <w:sz w:val="20"/>
          <w:lang w:val="lt-LT"/>
        </w:rPr>
        <w:t>skatinimą; ir</w:t>
      </w:r>
    </w:p>
    <w:p w14:paraId="6D76F6A3" w14:textId="77777777" w:rsidR="00B721E0" w:rsidRPr="003E3286" w:rsidRDefault="00B721E0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d) </w:t>
      </w:r>
      <w:proofErr w:type="spellStart"/>
      <w:r w:rsidRPr="003E3286">
        <w:rPr>
          <w:rFonts w:ascii="Helvetica" w:hAnsi="Helvetica"/>
          <w:sz w:val="20"/>
          <w:lang w:val="lt-LT"/>
        </w:rPr>
        <w:t>Treg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 slopinimo funkcijos </w:t>
      </w:r>
      <w:r w:rsidR="00285C69" w:rsidRPr="003E3286">
        <w:rPr>
          <w:rFonts w:ascii="Helvetica" w:hAnsi="Helvetica"/>
          <w:sz w:val="20"/>
          <w:lang w:val="lt-LT"/>
        </w:rPr>
        <w:t>atstatymą,</w:t>
      </w:r>
    </w:p>
    <w:p w14:paraId="07E0B47E" w14:textId="77777777" w:rsidR="00B721E0" w:rsidRPr="003E3286" w:rsidRDefault="00B721E0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geriau, kuris yra </w:t>
      </w:r>
      <w:proofErr w:type="spellStart"/>
      <w:r w:rsidRPr="003E3286">
        <w:rPr>
          <w:rFonts w:ascii="Helvetica" w:hAnsi="Helvetica"/>
          <w:sz w:val="20"/>
          <w:lang w:val="lt-LT"/>
        </w:rPr>
        <w:t>diakūnas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3E3286">
        <w:rPr>
          <w:rFonts w:ascii="Helvetica" w:hAnsi="Helvetica"/>
          <w:sz w:val="20"/>
          <w:lang w:val="lt-LT"/>
        </w:rPr>
        <w:t>scFv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3E3286">
        <w:rPr>
          <w:rFonts w:ascii="Helvetica" w:hAnsi="Helvetica"/>
          <w:sz w:val="20"/>
          <w:lang w:val="lt-LT"/>
        </w:rPr>
        <w:t>scFv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3E3286">
        <w:rPr>
          <w:rFonts w:ascii="Helvetica" w:hAnsi="Helvetica"/>
          <w:sz w:val="20"/>
          <w:lang w:val="lt-LT"/>
        </w:rPr>
        <w:t>dimeras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3E3286">
        <w:rPr>
          <w:rFonts w:ascii="Helvetica" w:hAnsi="Helvetica"/>
          <w:sz w:val="20"/>
          <w:lang w:val="lt-LT"/>
        </w:rPr>
        <w:t>BsFv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3E3286">
        <w:rPr>
          <w:rFonts w:ascii="Helvetica" w:hAnsi="Helvetica"/>
          <w:sz w:val="20"/>
          <w:lang w:val="lt-LT"/>
        </w:rPr>
        <w:t>dsFv</w:t>
      </w:r>
      <w:proofErr w:type="spellEnd"/>
      <w:r w:rsidRPr="003E3286">
        <w:rPr>
          <w:rFonts w:ascii="Helvetica" w:hAnsi="Helvetica"/>
          <w:sz w:val="20"/>
          <w:lang w:val="lt-LT"/>
        </w:rPr>
        <w:t>, (</w:t>
      </w:r>
      <w:proofErr w:type="spellStart"/>
      <w:r w:rsidRPr="003E3286">
        <w:rPr>
          <w:rFonts w:ascii="Helvetica" w:hAnsi="Helvetica"/>
          <w:sz w:val="20"/>
          <w:lang w:val="lt-LT"/>
        </w:rPr>
        <w:t>dsFv</w:t>
      </w:r>
      <w:proofErr w:type="spellEnd"/>
      <w:r w:rsidRPr="003E3286">
        <w:rPr>
          <w:rFonts w:ascii="Helvetica" w:hAnsi="Helvetica"/>
          <w:sz w:val="20"/>
          <w:lang w:val="lt-LT"/>
        </w:rPr>
        <w:t>)</w:t>
      </w:r>
      <w:r w:rsidRPr="003E3286">
        <w:rPr>
          <w:rFonts w:ascii="Helvetica" w:hAnsi="Helvetica"/>
          <w:sz w:val="20"/>
          <w:vertAlign w:val="subscript"/>
          <w:lang w:val="lt-LT"/>
        </w:rPr>
        <w:t>2</w:t>
      </w:r>
      <w:r w:rsidRPr="003E3286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3E3286">
        <w:rPr>
          <w:rFonts w:ascii="Helvetica" w:hAnsi="Helvetica"/>
          <w:sz w:val="20"/>
          <w:lang w:val="lt-LT"/>
        </w:rPr>
        <w:t>dsFv-dsFv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', </w:t>
      </w:r>
      <w:proofErr w:type="spellStart"/>
      <w:r w:rsidRPr="003E3286">
        <w:rPr>
          <w:rFonts w:ascii="Helvetica" w:hAnsi="Helvetica"/>
          <w:sz w:val="20"/>
          <w:lang w:val="lt-LT"/>
        </w:rPr>
        <w:t>Fv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 fragmentas, </w:t>
      </w:r>
      <w:proofErr w:type="spellStart"/>
      <w:r w:rsidRPr="003E3286">
        <w:rPr>
          <w:rFonts w:ascii="Helvetica" w:hAnsi="Helvetica"/>
          <w:sz w:val="20"/>
          <w:lang w:val="lt-LT"/>
        </w:rPr>
        <w:t>Fab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3E3286">
        <w:rPr>
          <w:rFonts w:ascii="Helvetica" w:hAnsi="Helvetica"/>
          <w:sz w:val="20"/>
          <w:lang w:val="lt-LT"/>
        </w:rPr>
        <w:t>Fab</w:t>
      </w:r>
      <w:proofErr w:type="spellEnd"/>
      <w:r w:rsidRPr="003E3286">
        <w:rPr>
          <w:rFonts w:ascii="Helvetica" w:hAnsi="Helvetica"/>
          <w:sz w:val="20"/>
          <w:lang w:val="lt-LT"/>
        </w:rPr>
        <w:t>', F(</w:t>
      </w:r>
      <w:proofErr w:type="spellStart"/>
      <w:r w:rsidRPr="003E3286">
        <w:rPr>
          <w:rFonts w:ascii="Helvetica" w:hAnsi="Helvetica"/>
          <w:sz w:val="20"/>
          <w:lang w:val="lt-LT"/>
        </w:rPr>
        <w:t>ab</w:t>
      </w:r>
      <w:proofErr w:type="spellEnd"/>
      <w:r w:rsidRPr="003E3286">
        <w:rPr>
          <w:rFonts w:ascii="Helvetica" w:hAnsi="Helvetica"/>
          <w:sz w:val="20"/>
          <w:lang w:val="lt-LT"/>
        </w:rPr>
        <w:t>')</w:t>
      </w:r>
      <w:r w:rsidRPr="003E3286">
        <w:rPr>
          <w:rFonts w:ascii="Helvetica" w:hAnsi="Helvetica"/>
          <w:sz w:val="20"/>
          <w:vertAlign w:val="subscript"/>
          <w:lang w:val="lt-LT"/>
        </w:rPr>
        <w:t>2</w:t>
      </w:r>
      <w:r w:rsidRPr="003E3286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3E3286">
        <w:rPr>
          <w:rFonts w:ascii="Helvetica" w:hAnsi="Helvetica"/>
          <w:sz w:val="20"/>
          <w:lang w:val="lt-LT"/>
        </w:rPr>
        <w:t>ds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3E3286">
        <w:rPr>
          <w:rFonts w:ascii="Helvetica" w:hAnsi="Helvetica"/>
          <w:sz w:val="20"/>
          <w:lang w:val="lt-LT"/>
        </w:rPr>
        <w:t>dia</w:t>
      </w:r>
      <w:r w:rsidR="00285C69" w:rsidRPr="003E3286">
        <w:rPr>
          <w:rFonts w:ascii="Helvetica" w:hAnsi="Helvetica"/>
          <w:sz w:val="20"/>
          <w:lang w:val="lt-LT"/>
        </w:rPr>
        <w:t>kūnas</w:t>
      </w:r>
      <w:proofErr w:type="spellEnd"/>
      <w:r w:rsidR="00285C69" w:rsidRPr="003E3286">
        <w:rPr>
          <w:rFonts w:ascii="Helvetica" w:hAnsi="Helvetica"/>
          <w:sz w:val="20"/>
          <w:lang w:val="lt-LT"/>
        </w:rPr>
        <w:t>,</w:t>
      </w:r>
    </w:p>
    <w:p w14:paraId="52790131" w14:textId="77777777" w:rsidR="00285C69" w:rsidRPr="003E3286" w:rsidRDefault="00285C69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>geriau, dar apimantis imunoglobulino pastoviąją sritį.</w:t>
      </w:r>
    </w:p>
    <w:p w14:paraId="072F9038" w14:textId="77777777" w:rsidR="006672D6" w:rsidRPr="003E3286" w:rsidRDefault="006672D6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46BC5889" w14:textId="77777777" w:rsidR="006672D6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5. </w:t>
      </w:r>
      <w:r w:rsidR="00B26EB8" w:rsidRPr="003E3286">
        <w:rPr>
          <w:rFonts w:ascii="Helvetica" w:hAnsi="Helvetica"/>
          <w:sz w:val="20"/>
          <w:lang w:val="lt-LT"/>
        </w:rPr>
        <w:t xml:space="preserve">Antikūnas arba jo antigeną surišantis fragmentas pagal bet kurį iš ankstesnių punktų, papildomai apimantis </w:t>
      </w:r>
      <w:proofErr w:type="spellStart"/>
      <w:r w:rsidR="00B26EB8" w:rsidRPr="003E3286">
        <w:rPr>
          <w:rFonts w:ascii="Helvetica" w:hAnsi="Helvetica"/>
          <w:sz w:val="20"/>
          <w:lang w:val="lt-LT"/>
        </w:rPr>
        <w:t>konjugatą</w:t>
      </w:r>
      <w:proofErr w:type="spellEnd"/>
      <w:r w:rsidR="00D44ECF" w:rsidRPr="003E3286">
        <w:rPr>
          <w:rFonts w:ascii="Helvetica" w:hAnsi="Helvetica"/>
          <w:sz w:val="20"/>
          <w:lang w:val="lt-LT"/>
        </w:rPr>
        <w:t>.</w:t>
      </w:r>
    </w:p>
    <w:p w14:paraId="429D4F58" w14:textId="77777777" w:rsidR="00317AC6" w:rsidRPr="003E3286" w:rsidRDefault="00317AC6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27F9B910" w14:textId="77777777" w:rsidR="001D3D13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6. </w:t>
      </w:r>
      <w:r w:rsidR="00B26EB8" w:rsidRPr="003E3286">
        <w:rPr>
          <w:rFonts w:ascii="Helvetica" w:hAnsi="Helvetica"/>
          <w:sz w:val="20"/>
          <w:lang w:val="lt-LT"/>
        </w:rPr>
        <w:t xml:space="preserve">Išskirtas </w:t>
      </w:r>
      <w:proofErr w:type="spellStart"/>
      <w:r w:rsidR="00B26EB8" w:rsidRPr="003E3286">
        <w:rPr>
          <w:rFonts w:ascii="Helvetica" w:hAnsi="Helvetica"/>
          <w:sz w:val="20"/>
          <w:lang w:val="lt-LT"/>
        </w:rPr>
        <w:t>polinukleotidas</w:t>
      </w:r>
      <w:proofErr w:type="spellEnd"/>
      <w:r w:rsidR="00B26EB8" w:rsidRPr="003E3286">
        <w:rPr>
          <w:rFonts w:ascii="Helvetica" w:hAnsi="Helvetica"/>
          <w:sz w:val="20"/>
          <w:lang w:val="lt-LT"/>
        </w:rPr>
        <w:t>, koduojantis antikūną arba jo antigeną surišantį fragmentą pagal 1-5 punktus.</w:t>
      </w:r>
    </w:p>
    <w:p w14:paraId="323D6957" w14:textId="77777777" w:rsidR="00AD2919" w:rsidRPr="003E3286" w:rsidRDefault="00AD2919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78FEEFDD" w14:textId="77777777" w:rsidR="00AD2919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lastRenderedPageBreak/>
        <w:t xml:space="preserve">7. </w:t>
      </w:r>
      <w:r w:rsidR="00B26EB8" w:rsidRPr="003E3286">
        <w:rPr>
          <w:rFonts w:ascii="Helvetica" w:hAnsi="Helvetica"/>
          <w:sz w:val="20"/>
          <w:lang w:val="lt-LT"/>
        </w:rPr>
        <w:t xml:space="preserve">Vektorius, apimantis izoliuotą </w:t>
      </w:r>
      <w:proofErr w:type="spellStart"/>
      <w:r w:rsidR="00B26EB8" w:rsidRPr="003E3286">
        <w:rPr>
          <w:rFonts w:ascii="Helvetica" w:hAnsi="Helvetica"/>
          <w:sz w:val="20"/>
          <w:lang w:val="lt-LT"/>
        </w:rPr>
        <w:t>polinukleotidą</w:t>
      </w:r>
      <w:proofErr w:type="spellEnd"/>
      <w:r w:rsidR="00B26EB8" w:rsidRPr="003E3286">
        <w:rPr>
          <w:rFonts w:ascii="Helvetica" w:hAnsi="Helvetica"/>
          <w:sz w:val="20"/>
          <w:lang w:val="lt-LT"/>
        </w:rPr>
        <w:t xml:space="preserve"> pagal 6 punktą.</w:t>
      </w:r>
      <w:r w:rsidR="00424BFE" w:rsidRPr="003E3286">
        <w:rPr>
          <w:rFonts w:ascii="Helvetica" w:hAnsi="Helvetica"/>
          <w:sz w:val="20"/>
          <w:lang w:val="lt-LT"/>
        </w:rPr>
        <w:t xml:space="preserve"> </w:t>
      </w:r>
    </w:p>
    <w:p w14:paraId="6744F981" w14:textId="77777777" w:rsidR="00317AC6" w:rsidRPr="003E3286" w:rsidRDefault="00317AC6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5C24AC65" w14:textId="77777777" w:rsidR="008C14A8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8. </w:t>
      </w:r>
      <w:r w:rsidR="00AD62D6" w:rsidRPr="003E3286">
        <w:rPr>
          <w:rFonts w:ascii="Helvetica" w:hAnsi="Helvetica"/>
          <w:sz w:val="20"/>
          <w:lang w:val="lt-LT"/>
        </w:rPr>
        <w:t>L</w:t>
      </w:r>
      <w:r w:rsidR="00A42AF9" w:rsidRPr="003E3286">
        <w:rPr>
          <w:rFonts w:ascii="Helvetica" w:hAnsi="Helvetica"/>
          <w:sz w:val="20"/>
          <w:lang w:val="lt-LT"/>
        </w:rPr>
        <w:t>ąstelė</w:t>
      </w:r>
      <w:r w:rsidR="00AD62D6" w:rsidRPr="003E3286">
        <w:rPr>
          <w:rFonts w:ascii="Helvetica" w:hAnsi="Helvetica"/>
          <w:sz w:val="20"/>
          <w:lang w:val="lt-LT"/>
        </w:rPr>
        <w:t>-šeimininkė</w:t>
      </w:r>
      <w:r w:rsidR="00B26EB8" w:rsidRPr="003E3286">
        <w:rPr>
          <w:rFonts w:ascii="Helvetica" w:hAnsi="Helvetica"/>
          <w:sz w:val="20"/>
          <w:lang w:val="lt-LT"/>
        </w:rPr>
        <w:t>, apimanti vektorių pagal 7 punktą.</w:t>
      </w:r>
    </w:p>
    <w:p w14:paraId="05F67311" w14:textId="77777777" w:rsidR="00317AC6" w:rsidRPr="003E3286" w:rsidRDefault="00317AC6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5AA8F484" w14:textId="77777777" w:rsidR="008C14A8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9. </w:t>
      </w:r>
      <w:r w:rsidR="00A42AF9" w:rsidRPr="003E3286">
        <w:rPr>
          <w:rFonts w:ascii="Helvetica" w:hAnsi="Helvetica"/>
          <w:sz w:val="20"/>
          <w:lang w:val="lt-LT"/>
        </w:rPr>
        <w:t xml:space="preserve">Antikūno arba jo antigeną surišančio fragmento pagal bet kurį iš 1-6 punktų ekspresijos būdas, apimantis </w:t>
      </w:r>
      <w:r w:rsidR="00AD62D6" w:rsidRPr="003E3286">
        <w:rPr>
          <w:rFonts w:ascii="Helvetica" w:hAnsi="Helvetica"/>
          <w:sz w:val="20"/>
          <w:lang w:val="lt-LT"/>
        </w:rPr>
        <w:t>l</w:t>
      </w:r>
      <w:r w:rsidR="00A42AF9" w:rsidRPr="003E3286">
        <w:rPr>
          <w:rFonts w:ascii="Helvetica" w:hAnsi="Helvetica"/>
          <w:sz w:val="20"/>
          <w:lang w:val="lt-LT"/>
        </w:rPr>
        <w:t>ąstelės</w:t>
      </w:r>
      <w:r w:rsidR="00AD62D6" w:rsidRPr="003E3286">
        <w:rPr>
          <w:rFonts w:ascii="Helvetica" w:hAnsi="Helvetica"/>
          <w:sz w:val="20"/>
          <w:lang w:val="lt-LT"/>
        </w:rPr>
        <w:t xml:space="preserve">-šeimininkės </w:t>
      </w:r>
      <w:r w:rsidR="00A42AF9" w:rsidRPr="003E3286">
        <w:rPr>
          <w:rFonts w:ascii="Helvetica" w:hAnsi="Helvetica"/>
          <w:sz w:val="20"/>
          <w:lang w:val="lt-LT"/>
        </w:rPr>
        <w:t xml:space="preserve">pagal 10 punktą kultivavimą tokiomis sąlygomis, kuriomis yra </w:t>
      </w:r>
      <w:proofErr w:type="spellStart"/>
      <w:r w:rsidR="00A42AF9" w:rsidRPr="003E3286">
        <w:rPr>
          <w:rFonts w:ascii="Helvetica" w:hAnsi="Helvetica"/>
          <w:sz w:val="20"/>
          <w:lang w:val="lt-LT"/>
        </w:rPr>
        <w:t>ekspresuojamas</w:t>
      </w:r>
      <w:proofErr w:type="spellEnd"/>
      <w:r w:rsidR="00A42AF9" w:rsidRPr="003E3286">
        <w:rPr>
          <w:rFonts w:ascii="Helvetica" w:hAnsi="Helvetica"/>
          <w:sz w:val="20"/>
          <w:lang w:val="lt-LT"/>
        </w:rPr>
        <w:t xml:space="preserve"> </w:t>
      </w:r>
      <w:proofErr w:type="spellStart"/>
      <w:r w:rsidR="00A42AF9" w:rsidRPr="003E3286">
        <w:rPr>
          <w:rFonts w:ascii="Helvetica" w:hAnsi="Helvetica"/>
          <w:sz w:val="20"/>
          <w:lang w:val="lt-LT"/>
        </w:rPr>
        <w:t>polinukleotidas</w:t>
      </w:r>
      <w:proofErr w:type="spellEnd"/>
      <w:r w:rsidR="00A42AF9" w:rsidRPr="003E3286">
        <w:rPr>
          <w:rFonts w:ascii="Helvetica" w:hAnsi="Helvetica"/>
          <w:sz w:val="20"/>
          <w:lang w:val="lt-LT"/>
        </w:rPr>
        <w:t xml:space="preserve"> pagal 7 punktą.</w:t>
      </w:r>
    </w:p>
    <w:p w14:paraId="1EB965A4" w14:textId="77777777" w:rsidR="00317AC6" w:rsidRPr="003E3286" w:rsidRDefault="00317AC6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497CF774" w14:textId="77777777" w:rsidR="008C14A8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10. </w:t>
      </w:r>
      <w:r w:rsidR="00AD62D6" w:rsidRPr="003E3286">
        <w:rPr>
          <w:rFonts w:ascii="Helvetica" w:hAnsi="Helvetica"/>
          <w:sz w:val="20"/>
          <w:lang w:val="lt-LT"/>
        </w:rPr>
        <w:t>Rinkinys, apimantis antikūną arba jo antigeną surišantį fragmentą pagal bet kurį iš 1-5 punktų.</w:t>
      </w:r>
    </w:p>
    <w:p w14:paraId="5A2E03CB" w14:textId="77777777" w:rsidR="003D69AF" w:rsidRPr="003E3286" w:rsidRDefault="003D69AF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325456BE" w14:textId="77777777" w:rsidR="00AD62D6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11. </w:t>
      </w:r>
      <w:r w:rsidR="00AD62D6" w:rsidRPr="003E3286">
        <w:rPr>
          <w:rFonts w:ascii="Helvetica" w:hAnsi="Helvetica"/>
          <w:sz w:val="20"/>
          <w:lang w:val="lt-LT"/>
        </w:rPr>
        <w:t>Būdas, skirtas</w:t>
      </w:r>
    </w:p>
    <w:p w14:paraId="68908240" w14:textId="77777777" w:rsidR="003D69AF" w:rsidRPr="003E3286" w:rsidRDefault="00AD62D6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>žmogaus arba beždžionės PD-L1 buvimo arba lygio aptikimui biologiniame mėginyje, apimantis biologinio mėginio paveikimą antikūnu arba jo antigeną surišančiu fragmentu pagal bet kurį iš 1-5 punktų, ir žmogaus arba beždžionės PD-L1 buvimo arba lygio nustatym</w:t>
      </w:r>
      <w:r w:rsidR="00172026" w:rsidRPr="003E3286">
        <w:rPr>
          <w:rFonts w:ascii="Helvetica" w:hAnsi="Helvetica"/>
          <w:sz w:val="20"/>
          <w:lang w:val="lt-LT"/>
        </w:rPr>
        <w:t>ą</w:t>
      </w:r>
      <w:r w:rsidR="003E3286" w:rsidRPr="003E3286">
        <w:rPr>
          <w:rFonts w:ascii="Helvetica" w:hAnsi="Helvetica"/>
          <w:sz w:val="20"/>
          <w:lang w:val="lt-LT"/>
        </w:rPr>
        <w:t xml:space="preserve"> </w:t>
      </w:r>
      <w:r w:rsidRPr="003E3286">
        <w:rPr>
          <w:rFonts w:ascii="Helvetica" w:hAnsi="Helvetica"/>
          <w:sz w:val="20"/>
          <w:lang w:val="lt-LT"/>
        </w:rPr>
        <w:t>mėginyje; arba</w:t>
      </w:r>
    </w:p>
    <w:p w14:paraId="0AE1B92E" w14:textId="77777777" w:rsidR="00AD62D6" w:rsidRPr="003E3286" w:rsidRDefault="00AD62D6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>individo, sergančio vėžiu arba turinčio auglį, identifikavimui, apimantis: PD-L1 buvimo arba lygio nustatymą tiriamajame individo biologiniame mėginyje</w:t>
      </w:r>
      <w:r w:rsidR="00172026" w:rsidRPr="003E3286">
        <w:rPr>
          <w:rFonts w:ascii="Helvetica" w:hAnsi="Helvetica"/>
          <w:sz w:val="20"/>
          <w:lang w:val="lt-LT"/>
        </w:rPr>
        <w:t>, panaudojant</w:t>
      </w:r>
      <w:r w:rsidRPr="003E3286">
        <w:rPr>
          <w:rFonts w:ascii="Helvetica" w:hAnsi="Helvetica"/>
          <w:sz w:val="20"/>
          <w:lang w:val="lt-LT"/>
        </w:rPr>
        <w:t xml:space="preserve"> antikūn</w:t>
      </w:r>
      <w:r w:rsidR="00172026" w:rsidRPr="003E3286">
        <w:rPr>
          <w:rFonts w:ascii="Helvetica" w:hAnsi="Helvetica"/>
          <w:sz w:val="20"/>
          <w:lang w:val="lt-LT"/>
        </w:rPr>
        <w:t>ą</w:t>
      </w:r>
      <w:r w:rsidRPr="003E3286">
        <w:rPr>
          <w:rFonts w:ascii="Helvetica" w:hAnsi="Helvetica"/>
          <w:sz w:val="20"/>
          <w:lang w:val="lt-LT"/>
        </w:rPr>
        <w:t xml:space="preserve"> arba jo antigeną surišan</w:t>
      </w:r>
      <w:r w:rsidR="00172026" w:rsidRPr="003E3286">
        <w:rPr>
          <w:rFonts w:ascii="Helvetica" w:hAnsi="Helvetica"/>
          <w:sz w:val="20"/>
          <w:lang w:val="lt-LT"/>
        </w:rPr>
        <w:t>tį</w:t>
      </w:r>
      <w:r w:rsidRPr="003E3286">
        <w:rPr>
          <w:rFonts w:ascii="Helvetica" w:hAnsi="Helvetica"/>
          <w:sz w:val="20"/>
          <w:lang w:val="lt-LT"/>
        </w:rPr>
        <w:t xml:space="preserve"> fragment</w:t>
      </w:r>
      <w:r w:rsidR="00172026" w:rsidRPr="003E3286">
        <w:rPr>
          <w:rFonts w:ascii="Helvetica" w:hAnsi="Helvetica"/>
          <w:sz w:val="20"/>
          <w:lang w:val="lt-LT"/>
        </w:rPr>
        <w:t>ą</w:t>
      </w:r>
      <w:r w:rsidRPr="003E3286">
        <w:rPr>
          <w:rFonts w:ascii="Helvetica" w:hAnsi="Helvetica"/>
          <w:sz w:val="20"/>
          <w:lang w:val="lt-LT"/>
        </w:rPr>
        <w:t xml:space="preserve"> pagal bet kurį iš 1-5 punktų, kur buvimas arba padidintas PD-L1 lygis tiriamajame biologiniame mėginyje rodo atsako tikimybę, geriau dar apimant</w:t>
      </w:r>
      <w:r w:rsidR="00D14BCB" w:rsidRPr="003E3286">
        <w:rPr>
          <w:rFonts w:ascii="Helvetica" w:hAnsi="Helvetica"/>
          <w:sz w:val="20"/>
          <w:lang w:val="lt-LT"/>
        </w:rPr>
        <w:t>is</w:t>
      </w:r>
      <w:r w:rsidRPr="003E3286">
        <w:rPr>
          <w:rFonts w:ascii="Helvetica" w:hAnsi="Helvetica"/>
          <w:sz w:val="20"/>
          <w:lang w:val="lt-LT"/>
        </w:rPr>
        <w:t xml:space="preserve"> antikūno arba jo antigeną </w:t>
      </w:r>
      <w:r w:rsidR="00D14BCB" w:rsidRPr="003E3286">
        <w:rPr>
          <w:rFonts w:ascii="Helvetica" w:hAnsi="Helvetica"/>
          <w:sz w:val="20"/>
          <w:lang w:val="lt-LT"/>
        </w:rPr>
        <w:t>su</w:t>
      </w:r>
      <w:r w:rsidRPr="003E3286">
        <w:rPr>
          <w:rFonts w:ascii="Helvetica" w:hAnsi="Helvetica"/>
          <w:sz w:val="20"/>
          <w:lang w:val="lt-LT"/>
        </w:rPr>
        <w:t xml:space="preserve">rišančio fragmento pagal bet kurį iš 1-5 punktų </w:t>
      </w:r>
      <w:proofErr w:type="spellStart"/>
      <w:r w:rsidRPr="003E3286">
        <w:rPr>
          <w:rFonts w:ascii="Helvetica" w:hAnsi="Helvetica"/>
          <w:sz w:val="20"/>
          <w:lang w:val="lt-LT"/>
        </w:rPr>
        <w:t>terapiškai</w:t>
      </w:r>
      <w:proofErr w:type="spellEnd"/>
      <w:r w:rsidRPr="003E3286">
        <w:rPr>
          <w:rFonts w:ascii="Helvetica" w:hAnsi="Helvetica"/>
          <w:sz w:val="20"/>
          <w:lang w:val="lt-LT"/>
        </w:rPr>
        <w:t xml:space="preserve"> veiksmingo kiekio įvedimą individui;</w:t>
      </w:r>
      <w:r w:rsidR="00D14BCB" w:rsidRPr="003E3286">
        <w:rPr>
          <w:rFonts w:ascii="Helvetica" w:hAnsi="Helvetica"/>
          <w:sz w:val="20"/>
          <w:lang w:val="lt-LT"/>
        </w:rPr>
        <w:t xml:space="preserve"> arba</w:t>
      </w:r>
    </w:p>
    <w:p w14:paraId="1089CAB8" w14:textId="77777777" w:rsidR="00D14BCB" w:rsidRPr="003E3286" w:rsidRDefault="00D14BCB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>paciento, gydomo PD-L1 antagonistu, terapinio atsako arba ligos progresavimo stebėjimui, apimantis PD-L1 buvimo arba lygio nustatymą tiriamajame individo biologiniame mėginyje, panaudojant anti-PD-L1 antikūną arba jo antigeną surišantį fragmentą pagal bet kurį iš 1-6 punktų.</w:t>
      </w:r>
    </w:p>
    <w:p w14:paraId="1132A061" w14:textId="77777777" w:rsidR="00076120" w:rsidRPr="003E3286" w:rsidRDefault="00076120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5E3F712B" w14:textId="77777777" w:rsidR="003D69AF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12. </w:t>
      </w:r>
      <w:r w:rsidR="00B05CEA" w:rsidRPr="003E3286">
        <w:rPr>
          <w:rFonts w:ascii="Helvetica" w:hAnsi="Helvetica"/>
          <w:sz w:val="20"/>
          <w:lang w:val="lt-LT"/>
        </w:rPr>
        <w:t>Farmacinė kompozicija, apimanti antikūną arba jo antigeną surišantį fragmentą pagal bet kurį iš 1-5 punktų ir vieną arba daugiau farmaciniu požiūriu priimtinų nešikų.</w:t>
      </w:r>
    </w:p>
    <w:p w14:paraId="42E566D9" w14:textId="77777777" w:rsidR="00076120" w:rsidRPr="003E3286" w:rsidRDefault="00076120" w:rsidP="003E3286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</w:p>
    <w:p w14:paraId="75A75FB5" w14:textId="77777777" w:rsidR="003D69AF" w:rsidRPr="003E3286" w:rsidRDefault="003E3286" w:rsidP="003E3286">
      <w:pPr>
        <w:pStyle w:val="Sraopastraipa"/>
        <w:spacing w:line="360" w:lineRule="auto"/>
        <w:ind w:left="0" w:firstLine="567"/>
        <w:jc w:val="both"/>
        <w:rPr>
          <w:rFonts w:ascii="Helvetica" w:hAnsi="Helvetica"/>
          <w:sz w:val="20"/>
          <w:lang w:val="lt-LT"/>
        </w:rPr>
      </w:pPr>
      <w:r w:rsidRPr="003E3286">
        <w:rPr>
          <w:rFonts w:ascii="Helvetica" w:hAnsi="Helvetica"/>
          <w:sz w:val="20"/>
          <w:lang w:val="lt-LT"/>
        </w:rPr>
        <w:t xml:space="preserve">13. </w:t>
      </w:r>
      <w:r w:rsidR="00B05CEA" w:rsidRPr="003E3286">
        <w:rPr>
          <w:rFonts w:ascii="Helvetica" w:hAnsi="Helvetica"/>
          <w:sz w:val="20"/>
          <w:lang w:val="lt-LT"/>
        </w:rPr>
        <w:t>Antikūnas arba jo antigeną surišantis fragmentas pagal bet kurį iš 1-5 punktų, skirtas panaudoti vėžio arba lėtinės virusinės infekcijos gydymui.</w:t>
      </w:r>
    </w:p>
    <w:sectPr w:rsidR="003D69AF" w:rsidRPr="003E3286" w:rsidSect="003E328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61B2" w14:textId="77777777" w:rsidR="007D6E8F" w:rsidRDefault="007D6E8F" w:rsidP="0023127B">
      <w:r>
        <w:separator/>
      </w:r>
    </w:p>
  </w:endnote>
  <w:endnote w:type="continuationSeparator" w:id="0">
    <w:p w14:paraId="5020B1BA" w14:textId="77777777" w:rsidR="007D6E8F" w:rsidRDefault="007D6E8F" w:rsidP="002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4CE9" w14:textId="77777777" w:rsidR="007D6E8F" w:rsidRDefault="007D6E8F" w:rsidP="0023127B">
      <w:r>
        <w:separator/>
      </w:r>
    </w:p>
  </w:footnote>
  <w:footnote w:type="continuationSeparator" w:id="0">
    <w:p w14:paraId="09D21A2E" w14:textId="77777777" w:rsidR="007D6E8F" w:rsidRDefault="007D6E8F" w:rsidP="0023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1D4D"/>
    <w:multiLevelType w:val="hybridMultilevel"/>
    <w:tmpl w:val="B784E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8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4A8"/>
    <w:rsid w:val="00002F66"/>
    <w:rsid w:val="0000764C"/>
    <w:rsid w:val="00007946"/>
    <w:rsid w:val="00010CE3"/>
    <w:rsid w:val="00016984"/>
    <w:rsid w:val="00016FA9"/>
    <w:rsid w:val="000438CF"/>
    <w:rsid w:val="0005329F"/>
    <w:rsid w:val="00075F8A"/>
    <w:rsid w:val="00076120"/>
    <w:rsid w:val="000A3BBA"/>
    <w:rsid w:val="000B3B90"/>
    <w:rsid w:val="000C79A8"/>
    <w:rsid w:val="000D1FA4"/>
    <w:rsid w:val="000D358C"/>
    <w:rsid w:val="000D4CF7"/>
    <w:rsid w:val="000E1485"/>
    <w:rsid w:val="000F0102"/>
    <w:rsid w:val="00152E8E"/>
    <w:rsid w:val="001559B3"/>
    <w:rsid w:val="00161886"/>
    <w:rsid w:val="00172026"/>
    <w:rsid w:val="00173377"/>
    <w:rsid w:val="00173F45"/>
    <w:rsid w:val="00174A34"/>
    <w:rsid w:val="001759FA"/>
    <w:rsid w:val="00183310"/>
    <w:rsid w:val="001929C3"/>
    <w:rsid w:val="001A486E"/>
    <w:rsid w:val="001B7E72"/>
    <w:rsid w:val="001C202D"/>
    <w:rsid w:val="001D3D13"/>
    <w:rsid w:val="001E1F9B"/>
    <w:rsid w:val="001E4F0E"/>
    <w:rsid w:val="001E66FA"/>
    <w:rsid w:val="0021506C"/>
    <w:rsid w:val="00226AF3"/>
    <w:rsid w:val="002305DD"/>
    <w:rsid w:val="0023127B"/>
    <w:rsid w:val="002351E3"/>
    <w:rsid w:val="0024362A"/>
    <w:rsid w:val="0025065C"/>
    <w:rsid w:val="002510F9"/>
    <w:rsid w:val="0025628C"/>
    <w:rsid w:val="00263356"/>
    <w:rsid w:val="002713CD"/>
    <w:rsid w:val="00283DFB"/>
    <w:rsid w:val="00285C69"/>
    <w:rsid w:val="002C0875"/>
    <w:rsid w:val="002C38FE"/>
    <w:rsid w:val="002C4F92"/>
    <w:rsid w:val="002C6F42"/>
    <w:rsid w:val="002D34FA"/>
    <w:rsid w:val="002F60E9"/>
    <w:rsid w:val="00302F59"/>
    <w:rsid w:val="00317AC6"/>
    <w:rsid w:val="00336A73"/>
    <w:rsid w:val="00340F00"/>
    <w:rsid w:val="003445C1"/>
    <w:rsid w:val="003627A5"/>
    <w:rsid w:val="00373035"/>
    <w:rsid w:val="003772F9"/>
    <w:rsid w:val="003A18EA"/>
    <w:rsid w:val="003A4F37"/>
    <w:rsid w:val="003B21E2"/>
    <w:rsid w:val="003B70DA"/>
    <w:rsid w:val="003B7599"/>
    <w:rsid w:val="003D69AF"/>
    <w:rsid w:val="003E3286"/>
    <w:rsid w:val="0040284C"/>
    <w:rsid w:val="004038DD"/>
    <w:rsid w:val="004230DC"/>
    <w:rsid w:val="00424BFE"/>
    <w:rsid w:val="004278F4"/>
    <w:rsid w:val="00431E35"/>
    <w:rsid w:val="00442B7C"/>
    <w:rsid w:val="0045410F"/>
    <w:rsid w:val="00454FBA"/>
    <w:rsid w:val="004552AA"/>
    <w:rsid w:val="00482C18"/>
    <w:rsid w:val="00496191"/>
    <w:rsid w:val="0049791F"/>
    <w:rsid w:val="004B328D"/>
    <w:rsid w:val="004C0641"/>
    <w:rsid w:val="004C2EA9"/>
    <w:rsid w:val="004D481E"/>
    <w:rsid w:val="004F2A9C"/>
    <w:rsid w:val="005053AB"/>
    <w:rsid w:val="0051178D"/>
    <w:rsid w:val="005119AC"/>
    <w:rsid w:val="005369A0"/>
    <w:rsid w:val="00545034"/>
    <w:rsid w:val="005813E1"/>
    <w:rsid w:val="00581C80"/>
    <w:rsid w:val="005A316B"/>
    <w:rsid w:val="005B0B04"/>
    <w:rsid w:val="005B156E"/>
    <w:rsid w:val="005B4232"/>
    <w:rsid w:val="005B4E80"/>
    <w:rsid w:val="005B58B2"/>
    <w:rsid w:val="005C7E5F"/>
    <w:rsid w:val="005D0B13"/>
    <w:rsid w:val="005E7EF3"/>
    <w:rsid w:val="005F3458"/>
    <w:rsid w:val="005F7D12"/>
    <w:rsid w:val="00607321"/>
    <w:rsid w:val="00610366"/>
    <w:rsid w:val="0061536C"/>
    <w:rsid w:val="00623681"/>
    <w:rsid w:val="006548BA"/>
    <w:rsid w:val="006672D6"/>
    <w:rsid w:val="00676E68"/>
    <w:rsid w:val="00686DAC"/>
    <w:rsid w:val="00690ADE"/>
    <w:rsid w:val="006928FF"/>
    <w:rsid w:val="006A0972"/>
    <w:rsid w:val="006A787B"/>
    <w:rsid w:val="006B4C00"/>
    <w:rsid w:val="006C3C98"/>
    <w:rsid w:val="006C4ADD"/>
    <w:rsid w:val="006C7729"/>
    <w:rsid w:val="006F1E82"/>
    <w:rsid w:val="006F44C6"/>
    <w:rsid w:val="00731299"/>
    <w:rsid w:val="00733217"/>
    <w:rsid w:val="00747739"/>
    <w:rsid w:val="00765944"/>
    <w:rsid w:val="00783EA0"/>
    <w:rsid w:val="00792E77"/>
    <w:rsid w:val="007A29A8"/>
    <w:rsid w:val="007C4238"/>
    <w:rsid w:val="007D5806"/>
    <w:rsid w:val="007D6E8F"/>
    <w:rsid w:val="007E68C7"/>
    <w:rsid w:val="007F0F18"/>
    <w:rsid w:val="0080238E"/>
    <w:rsid w:val="00807810"/>
    <w:rsid w:val="00807ABE"/>
    <w:rsid w:val="0081119F"/>
    <w:rsid w:val="0083540C"/>
    <w:rsid w:val="00855244"/>
    <w:rsid w:val="00857880"/>
    <w:rsid w:val="00863AC1"/>
    <w:rsid w:val="00870774"/>
    <w:rsid w:val="0087629C"/>
    <w:rsid w:val="00877C9D"/>
    <w:rsid w:val="00885BAE"/>
    <w:rsid w:val="008B02F6"/>
    <w:rsid w:val="008C0789"/>
    <w:rsid w:val="008C14A8"/>
    <w:rsid w:val="008C42B9"/>
    <w:rsid w:val="008C6D88"/>
    <w:rsid w:val="008E5E41"/>
    <w:rsid w:val="008E5FBD"/>
    <w:rsid w:val="008F27B8"/>
    <w:rsid w:val="009042AB"/>
    <w:rsid w:val="0090765F"/>
    <w:rsid w:val="009122E2"/>
    <w:rsid w:val="009154C0"/>
    <w:rsid w:val="009175AF"/>
    <w:rsid w:val="0092521E"/>
    <w:rsid w:val="00925734"/>
    <w:rsid w:val="00927AD9"/>
    <w:rsid w:val="009562BA"/>
    <w:rsid w:val="009724C5"/>
    <w:rsid w:val="009926FD"/>
    <w:rsid w:val="009A181E"/>
    <w:rsid w:val="009A29FC"/>
    <w:rsid w:val="009A55AC"/>
    <w:rsid w:val="009B4E04"/>
    <w:rsid w:val="009E3645"/>
    <w:rsid w:val="009F5EED"/>
    <w:rsid w:val="009F7666"/>
    <w:rsid w:val="00A20A71"/>
    <w:rsid w:val="00A25D10"/>
    <w:rsid w:val="00A30A25"/>
    <w:rsid w:val="00A357E2"/>
    <w:rsid w:val="00A42AF9"/>
    <w:rsid w:val="00A4722A"/>
    <w:rsid w:val="00A57538"/>
    <w:rsid w:val="00A63805"/>
    <w:rsid w:val="00A65349"/>
    <w:rsid w:val="00A67924"/>
    <w:rsid w:val="00A71370"/>
    <w:rsid w:val="00A7430B"/>
    <w:rsid w:val="00A76B0C"/>
    <w:rsid w:val="00A91EC9"/>
    <w:rsid w:val="00A97CAE"/>
    <w:rsid w:val="00AA2303"/>
    <w:rsid w:val="00AA6FA6"/>
    <w:rsid w:val="00AB1549"/>
    <w:rsid w:val="00AD2919"/>
    <w:rsid w:val="00AD62D6"/>
    <w:rsid w:val="00B0498D"/>
    <w:rsid w:val="00B05CEA"/>
    <w:rsid w:val="00B11C75"/>
    <w:rsid w:val="00B1577B"/>
    <w:rsid w:val="00B26EB8"/>
    <w:rsid w:val="00B6492D"/>
    <w:rsid w:val="00B6502E"/>
    <w:rsid w:val="00B721E0"/>
    <w:rsid w:val="00B83061"/>
    <w:rsid w:val="00B8608A"/>
    <w:rsid w:val="00B87424"/>
    <w:rsid w:val="00B967AC"/>
    <w:rsid w:val="00BC2D33"/>
    <w:rsid w:val="00BC6B52"/>
    <w:rsid w:val="00BD0DB3"/>
    <w:rsid w:val="00C10A38"/>
    <w:rsid w:val="00C11983"/>
    <w:rsid w:val="00C120B2"/>
    <w:rsid w:val="00C25471"/>
    <w:rsid w:val="00C3247F"/>
    <w:rsid w:val="00C337ED"/>
    <w:rsid w:val="00C33866"/>
    <w:rsid w:val="00C34088"/>
    <w:rsid w:val="00C35483"/>
    <w:rsid w:val="00C47501"/>
    <w:rsid w:val="00C536D9"/>
    <w:rsid w:val="00C5594F"/>
    <w:rsid w:val="00C869C7"/>
    <w:rsid w:val="00C979E2"/>
    <w:rsid w:val="00CC4A37"/>
    <w:rsid w:val="00CC77B5"/>
    <w:rsid w:val="00CD57BA"/>
    <w:rsid w:val="00CF21E4"/>
    <w:rsid w:val="00D025F5"/>
    <w:rsid w:val="00D14BCB"/>
    <w:rsid w:val="00D21DD6"/>
    <w:rsid w:val="00D303DE"/>
    <w:rsid w:val="00D34BCE"/>
    <w:rsid w:val="00D37978"/>
    <w:rsid w:val="00D44ECF"/>
    <w:rsid w:val="00D51E6C"/>
    <w:rsid w:val="00D55BDC"/>
    <w:rsid w:val="00D80F8E"/>
    <w:rsid w:val="00D8136A"/>
    <w:rsid w:val="00D837A6"/>
    <w:rsid w:val="00D86A60"/>
    <w:rsid w:val="00D911BC"/>
    <w:rsid w:val="00D91934"/>
    <w:rsid w:val="00DE0C92"/>
    <w:rsid w:val="00E0006E"/>
    <w:rsid w:val="00E229DE"/>
    <w:rsid w:val="00E365B3"/>
    <w:rsid w:val="00E71293"/>
    <w:rsid w:val="00E9062C"/>
    <w:rsid w:val="00EC0444"/>
    <w:rsid w:val="00ED5989"/>
    <w:rsid w:val="00EF5534"/>
    <w:rsid w:val="00F04929"/>
    <w:rsid w:val="00F13512"/>
    <w:rsid w:val="00F17614"/>
    <w:rsid w:val="00F17861"/>
    <w:rsid w:val="00F3109B"/>
    <w:rsid w:val="00F423CC"/>
    <w:rsid w:val="00F7077D"/>
    <w:rsid w:val="00F72C11"/>
    <w:rsid w:val="00F917CC"/>
    <w:rsid w:val="00FA026F"/>
    <w:rsid w:val="00FA2C83"/>
    <w:rsid w:val="00FB5D60"/>
    <w:rsid w:val="00FD7070"/>
    <w:rsid w:val="00FF03B6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0C8B57"/>
  <w15:chartTrackingRefBased/>
  <w15:docId w15:val="{C014C657-6716-4E04-8757-DAB363FB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05DD"/>
    <w:rPr>
      <w:sz w:val="22"/>
      <w:szCs w:val="22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14A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312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3127B"/>
    <w:rPr>
      <w:sz w:val="22"/>
      <w:szCs w:val="22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312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3127B"/>
    <w:rPr>
      <w:sz w:val="22"/>
      <w:szCs w:val="22"/>
      <w:lang w:val="en-GB" w:eastAsia="en-US"/>
    </w:rPr>
  </w:style>
  <w:style w:type="character" w:styleId="Hipersaitas">
    <w:name w:val="Hyperlink"/>
    <w:uiPriority w:val="99"/>
    <w:unhideWhenUsed/>
    <w:rsid w:val="0080238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927A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F4BD0-33BE-4BC0-B4BC-3E54D2A9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</dc:creator>
  <cp:keywords/>
  <cp:lastModifiedBy>Rasa Gurčytė</cp:lastModifiedBy>
  <cp:revision>2</cp:revision>
  <cp:lastPrinted>2023-06-02T10:54:00Z</cp:lastPrinted>
  <dcterms:created xsi:type="dcterms:W3CDTF">2023-12-08T06:28:00Z</dcterms:created>
  <dcterms:modified xsi:type="dcterms:W3CDTF">2023-12-08T06:28:00Z</dcterms:modified>
</cp:coreProperties>
</file>