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C205" w14:textId="77777777" w:rsidR="009E425E" w:rsidRPr="0056411C" w:rsidRDefault="00B70727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1. </w:t>
      </w:r>
      <w:r w:rsidR="00F17A90" w:rsidRPr="0056411C">
        <w:rPr>
          <w:rFonts w:ascii="Helvetica" w:hAnsi="Helvetica" w:cs="Arial"/>
          <w:sz w:val="20"/>
          <w:lang w:val="lt-LT"/>
        </w:rPr>
        <w:t xml:space="preserve">Chimerinis antigeno receptorius (CAR), apimantis </w:t>
      </w:r>
      <w:proofErr w:type="spellStart"/>
      <w:r w:rsidR="00F17A90" w:rsidRPr="0056411C">
        <w:rPr>
          <w:rFonts w:ascii="Helvetica" w:hAnsi="Helvetica" w:cs="Arial"/>
          <w:sz w:val="20"/>
          <w:lang w:val="lt-LT"/>
        </w:rPr>
        <w:t>polipeptidą</w:t>
      </w:r>
      <w:proofErr w:type="spellEnd"/>
      <w:r w:rsidR="00F17A90" w:rsidRPr="0056411C">
        <w:rPr>
          <w:rFonts w:ascii="Helvetica" w:hAnsi="Helvetica" w:cs="Arial"/>
          <w:sz w:val="20"/>
          <w:lang w:val="lt-LT"/>
        </w:rPr>
        <w:t xml:space="preserve">, apimantį: </w:t>
      </w:r>
    </w:p>
    <w:p w14:paraId="16B277B6" w14:textId="05904966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56411C">
        <w:rPr>
          <w:rFonts w:ascii="Helvetica" w:hAnsi="Helvetica" w:cs="Arial"/>
          <w:sz w:val="20"/>
          <w:lang w:val="lt-LT"/>
        </w:rPr>
        <w:t>ekstraląstelinį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antigeną surišantį domeną, apimantį pirmąjį vieno domeno antikūną (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), specifiškai </w:t>
      </w:r>
      <w:r w:rsidR="00F23BB8" w:rsidRPr="0056411C">
        <w:rPr>
          <w:rFonts w:ascii="Helvetica" w:hAnsi="Helvetica" w:cs="Arial"/>
          <w:sz w:val="20"/>
          <w:lang w:val="lt-LT"/>
        </w:rPr>
        <w:t>besirišantį</w:t>
      </w:r>
      <w:r w:rsidRPr="0056411C">
        <w:rPr>
          <w:rFonts w:ascii="Helvetica" w:hAnsi="Helvetica" w:cs="Arial"/>
          <w:sz w:val="20"/>
          <w:lang w:val="lt-LT"/>
        </w:rPr>
        <w:t xml:space="preserve"> prie pirmojo antigeno, ir antrąjį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, specifiškai </w:t>
      </w:r>
      <w:r w:rsidR="00F23BB8" w:rsidRPr="0056411C">
        <w:rPr>
          <w:rFonts w:ascii="Helvetica" w:hAnsi="Helvetica" w:cs="Arial"/>
          <w:sz w:val="20"/>
          <w:lang w:val="lt-LT"/>
        </w:rPr>
        <w:t xml:space="preserve">besirišantį </w:t>
      </w:r>
      <w:r w:rsidRPr="0056411C">
        <w:rPr>
          <w:rFonts w:ascii="Helvetica" w:hAnsi="Helvetica" w:cs="Arial"/>
          <w:sz w:val="20"/>
          <w:lang w:val="lt-LT"/>
        </w:rPr>
        <w:t xml:space="preserve">prie antrojo antigeno, kur kiekvienas iš pirmojo ir antrojo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V</w:t>
      </w:r>
      <w:r w:rsidRPr="0056411C">
        <w:rPr>
          <w:rFonts w:ascii="Helvetica" w:hAnsi="Helvetica" w:cs="Arial"/>
          <w:sz w:val="20"/>
          <w:vertAlign w:val="subscript"/>
          <w:lang w:val="lt-LT"/>
        </w:rPr>
        <w:t>H</w:t>
      </w:r>
      <w:r w:rsidRPr="0056411C">
        <w:rPr>
          <w:rFonts w:ascii="Helvetica" w:hAnsi="Helvetica" w:cs="Arial"/>
          <w:sz w:val="20"/>
          <w:lang w:val="lt-LT"/>
        </w:rPr>
        <w:t>H;</w:t>
      </w:r>
    </w:p>
    <w:p w14:paraId="57A74081" w14:textId="259D9ED6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56411C">
        <w:rPr>
          <w:rFonts w:ascii="Helvetica" w:hAnsi="Helvetica" w:cs="Arial"/>
          <w:sz w:val="20"/>
          <w:lang w:val="lt-LT"/>
        </w:rPr>
        <w:t>transmembranin</w:t>
      </w:r>
      <w:r w:rsidR="00F23BB8" w:rsidRPr="0056411C">
        <w:rPr>
          <w:rFonts w:ascii="Helvetica" w:hAnsi="Helvetica" w:cs="Arial"/>
          <w:sz w:val="20"/>
          <w:lang w:val="lt-LT"/>
        </w:rPr>
        <w:t>į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domen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 xml:space="preserve"> ir</w:t>
      </w:r>
    </w:p>
    <w:p w14:paraId="46628854" w14:textId="6468C32C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(c) tarpląstelin</w:t>
      </w:r>
      <w:r w:rsidR="00F23BB8" w:rsidRPr="0056411C">
        <w:rPr>
          <w:rFonts w:ascii="Helvetica" w:hAnsi="Helvetica" w:cs="Arial"/>
          <w:sz w:val="20"/>
          <w:lang w:val="lt-LT"/>
        </w:rPr>
        <w:t>į</w:t>
      </w:r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signalo perdavimo</w:t>
      </w:r>
      <w:r w:rsidRPr="0056411C">
        <w:rPr>
          <w:rFonts w:ascii="Helvetica" w:hAnsi="Helvetica" w:cs="Arial"/>
          <w:sz w:val="20"/>
          <w:lang w:val="lt-LT"/>
        </w:rPr>
        <w:t xml:space="preserve"> domen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>.</w:t>
      </w:r>
    </w:p>
    <w:p w14:paraId="7F23F0F8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E52A77" w14:textId="6C88F9DC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2.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 xml:space="preserve">CAR pagal </w:t>
      </w:r>
      <w:r w:rsidRPr="0056411C">
        <w:rPr>
          <w:rFonts w:ascii="Helvetica" w:hAnsi="Helvetica" w:cs="Arial"/>
          <w:sz w:val="20"/>
          <w:lang w:val="lt-LT"/>
        </w:rPr>
        <w:t>1 punkt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>, kur pirmasis ir antrasis antigenai yra pa</w:t>
      </w:r>
      <w:r w:rsidR="00F23BB8" w:rsidRPr="0056411C">
        <w:rPr>
          <w:rFonts w:ascii="Helvetica" w:hAnsi="Helvetica" w:cs="Arial"/>
          <w:sz w:val="20"/>
          <w:lang w:val="lt-LT"/>
        </w:rPr>
        <w:t>si</w:t>
      </w:r>
      <w:r w:rsidRPr="0056411C">
        <w:rPr>
          <w:rFonts w:ascii="Helvetica" w:hAnsi="Helvetica" w:cs="Arial"/>
          <w:sz w:val="20"/>
          <w:lang w:val="lt-LT"/>
        </w:rPr>
        <w:t>rinkti iš grupės, susidedančios iš CD19, CD20, CD22, CD33, CD38, BCMA, CS1, ROR1, GPC3, CD123, IL-13R, CD138, c-</w:t>
      </w:r>
      <w:proofErr w:type="spellStart"/>
      <w:r w:rsidRPr="0056411C">
        <w:rPr>
          <w:rFonts w:ascii="Helvetica" w:hAnsi="Helvetica" w:cs="Arial"/>
          <w:sz w:val="20"/>
          <w:lang w:val="lt-LT"/>
        </w:rPr>
        <w:t>Met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6411C">
        <w:rPr>
          <w:rFonts w:ascii="Helvetica" w:hAnsi="Helvetica" w:cs="Arial"/>
          <w:sz w:val="20"/>
          <w:lang w:val="lt-LT"/>
        </w:rPr>
        <w:t>EGFRvIII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, GD-2, NY-ESO-1, MAGE A3 ir </w:t>
      </w:r>
      <w:proofErr w:type="spellStart"/>
      <w:r w:rsidRPr="0056411C">
        <w:rPr>
          <w:rFonts w:ascii="Helvetica" w:hAnsi="Helvetica" w:cs="Arial"/>
          <w:sz w:val="20"/>
          <w:lang w:val="lt-LT"/>
        </w:rPr>
        <w:t>glikolipido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F77.</w:t>
      </w:r>
    </w:p>
    <w:p w14:paraId="484AE9F6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9ECCA5" w14:textId="784048D6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3.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 xml:space="preserve">CAR pagal </w:t>
      </w:r>
      <w:r w:rsidRPr="0056411C">
        <w:rPr>
          <w:rFonts w:ascii="Helvetica" w:hAnsi="Helvetica" w:cs="Arial"/>
          <w:sz w:val="20"/>
          <w:lang w:val="lt-LT"/>
        </w:rPr>
        <w:t>1 arba 2 punkt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>, kur pirmasis antigenas skiriasi nuo antrojo antigeno.</w:t>
      </w:r>
    </w:p>
    <w:p w14:paraId="2017FD90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8ED733" w14:textId="463F6B55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4.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 xml:space="preserve">CAR pagal </w:t>
      </w:r>
      <w:r w:rsidRPr="0056411C">
        <w:rPr>
          <w:rFonts w:ascii="Helvetica" w:hAnsi="Helvetica" w:cs="Arial"/>
          <w:sz w:val="20"/>
          <w:lang w:val="lt-LT"/>
        </w:rPr>
        <w:t>3 punkt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>, kur</w:t>
      </w:r>
    </w:p>
    <w:p w14:paraId="72E286B5" w14:textId="50D4DA63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(i)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6411C">
        <w:rPr>
          <w:rFonts w:ascii="Helvetica" w:hAnsi="Helvetica" w:cs="Arial"/>
          <w:sz w:val="20"/>
          <w:lang w:val="lt-LT"/>
        </w:rPr>
        <w:t>anti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-BCMA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="00F23BB8" w:rsidRPr="0056411C">
        <w:rPr>
          <w:rFonts w:ascii="Helvetica" w:hAnsi="Helvetica" w:cs="Arial"/>
          <w:sz w:val="20"/>
          <w:lang w:val="lt-LT"/>
        </w:rPr>
        <w:t xml:space="preserve">, ir </w:t>
      </w:r>
      <w:r w:rsidRPr="0056411C">
        <w:rPr>
          <w:rFonts w:ascii="Helvetica" w:hAnsi="Helvetica" w:cs="Arial"/>
          <w:sz w:val="20"/>
          <w:lang w:val="lt-LT"/>
        </w:rPr>
        <w:t xml:space="preserve">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anti-CD38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>;</w:t>
      </w:r>
    </w:p>
    <w:p w14:paraId="7756BD05" w14:textId="5350C17B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(ii)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6411C">
        <w:rPr>
          <w:rFonts w:ascii="Helvetica" w:hAnsi="Helvetica" w:cs="Arial"/>
          <w:sz w:val="20"/>
          <w:lang w:val="lt-LT"/>
        </w:rPr>
        <w:t>anti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-BCMA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="00F23BB8" w:rsidRPr="0056411C">
        <w:rPr>
          <w:rFonts w:ascii="Helvetica" w:hAnsi="Helvetica" w:cs="Arial"/>
          <w:sz w:val="20"/>
          <w:lang w:val="lt-LT"/>
        </w:rPr>
        <w:t xml:space="preserve">, ir </w:t>
      </w:r>
      <w:r w:rsidRPr="0056411C">
        <w:rPr>
          <w:rFonts w:ascii="Helvetica" w:hAnsi="Helvetica" w:cs="Arial"/>
          <w:sz w:val="20"/>
          <w:lang w:val="lt-LT"/>
        </w:rPr>
        <w:t xml:space="preserve">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anti-CD19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>;</w:t>
      </w:r>
    </w:p>
    <w:p w14:paraId="559E5EFA" w14:textId="220FB77C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(iii)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anti-CD19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="00F23BB8" w:rsidRPr="0056411C">
        <w:rPr>
          <w:rFonts w:ascii="Helvetica" w:hAnsi="Helvetica" w:cs="Arial"/>
          <w:sz w:val="20"/>
          <w:lang w:val="lt-LT"/>
        </w:rPr>
        <w:t xml:space="preserve">, ir </w:t>
      </w:r>
      <w:r w:rsidRPr="0056411C">
        <w:rPr>
          <w:rFonts w:ascii="Helvetica" w:hAnsi="Helvetica" w:cs="Arial"/>
          <w:sz w:val="20"/>
          <w:lang w:val="lt-LT"/>
        </w:rPr>
        <w:t xml:space="preserve">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anti-CD20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>; arba</w:t>
      </w:r>
    </w:p>
    <w:p w14:paraId="37AE87E5" w14:textId="7C2C9703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(iv)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anti-CD19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="00F23BB8" w:rsidRPr="0056411C">
        <w:rPr>
          <w:rFonts w:ascii="Helvetica" w:hAnsi="Helvetica" w:cs="Arial"/>
          <w:sz w:val="20"/>
          <w:lang w:val="lt-LT"/>
        </w:rPr>
        <w:t xml:space="preserve">, ir </w:t>
      </w:r>
      <w:r w:rsidRPr="0056411C">
        <w:rPr>
          <w:rFonts w:ascii="Helvetica" w:hAnsi="Helvetica" w:cs="Arial"/>
          <w:sz w:val="20"/>
          <w:lang w:val="lt-LT"/>
        </w:rPr>
        <w:t xml:space="preserve">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anti-CD22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>.</w:t>
      </w:r>
    </w:p>
    <w:p w14:paraId="7591A3AE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24A389" w14:textId="6B292870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5.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 xml:space="preserve">CAR pagal </w:t>
      </w:r>
      <w:r w:rsidRPr="0056411C">
        <w:rPr>
          <w:rFonts w:ascii="Helvetica" w:hAnsi="Helvetica" w:cs="Arial"/>
          <w:sz w:val="20"/>
          <w:lang w:val="lt-LT"/>
        </w:rPr>
        <w:t>1 arba 2 punkt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>, kur pirmasis antigenas yra toks pat kaip antrasis antigenas.</w:t>
      </w:r>
    </w:p>
    <w:p w14:paraId="67D7D2FC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B79246" w14:textId="1546580E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6.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 xml:space="preserve">CAR pagal </w:t>
      </w:r>
      <w:r w:rsidRPr="0056411C">
        <w:rPr>
          <w:rFonts w:ascii="Helvetica" w:hAnsi="Helvetica" w:cs="Arial"/>
          <w:sz w:val="20"/>
          <w:lang w:val="lt-LT"/>
        </w:rPr>
        <w:t>5 punkt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 xml:space="preserve">, kur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specifiškai </w:t>
      </w:r>
      <w:r w:rsidR="00F23BB8" w:rsidRPr="0056411C">
        <w:rPr>
          <w:rFonts w:ascii="Helvetica" w:hAnsi="Helvetica" w:cs="Arial"/>
          <w:sz w:val="20"/>
          <w:lang w:val="lt-LT"/>
        </w:rPr>
        <w:t>rišasi</w:t>
      </w:r>
      <w:r w:rsidRPr="0056411C">
        <w:rPr>
          <w:rFonts w:ascii="Helvetica" w:hAnsi="Helvetica" w:cs="Arial"/>
          <w:sz w:val="20"/>
          <w:lang w:val="lt-LT"/>
        </w:rPr>
        <w:t xml:space="preserve"> prie to paties </w:t>
      </w:r>
      <w:proofErr w:type="spellStart"/>
      <w:r w:rsidRPr="0056411C">
        <w:rPr>
          <w:rFonts w:ascii="Helvetica" w:hAnsi="Helvetica" w:cs="Arial"/>
          <w:sz w:val="20"/>
          <w:lang w:val="lt-LT"/>
        </w:rPr>
        <w:t>epitopo</w:t>
      </w:r>
      <w:proofErr w:type="spellEnd"/>
      <w:r w:rsidRPr="0056411C">
        <w:rPr>
          <w:rFonts w:ascii="Helvetica" w:hAnsi="Helvetica" w:cs="Arial"/>
          <w:sz w:val="20"/>
          <w:lang w:val="lt-LT"/>
        </w:rPr>
        <w:t>.</w:t>
      </w:r>
    </w:p>
    <w:p w14:paraId="68468DE2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3F528A" w14:textId="103BF46D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7.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 xml:space="preserve">CAR pagal </w:t>
      </w:r>
      <w:r w:rsidRPr="0056411C">
        <w:rPr>
          <w:rFonts w:ascii="Helvetica" w:hAnsi="Helvetica" w:cs="Arial"/>
          <w:sz w:val="20"/>
          <w:lang w:val="lt-LT"/>
        </w:rPr>
        <w:t>5 punkt</w:t>
      </w:r>
      <w:r w:rsidR="00F23BB8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 xml:space="preserve">, kur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specifiškai </w:t>
      </w:r>
      <w:r w:rsidR="00F23BB8" w:rsidRPr="0056411C">
        <w:rPr>
          <w:rFonts w:ascii="Helvetica" w:hAnsi="Helvetica" w:cs="Arial"/>
          <w:sz w:val="20"/>
          <w:lang w:val="lt-LT"/>
        </w:rPr>
        <w:t xml:space="preserve">rišasi </w:t>
      </w:r>
      <w:r w:rsidRPr="0056411C">
        <w:rPr>
          <w:rFonts w:ascii="Helvetica" w:hAnsi="Helvetica" w:cs="Arial"/>
          <w:sz w:val="20"/>
          <w:lang w:val="lt-LT"/>
        </w:rPr>
        <w:t xml:space="preserve">prie skirtingų </w:t>
      </w:r>
      <w:proofErr w:type="spellStart"/>
      <w:r w:rsidRPr="0056411C">
        <w:rPr>
          <w:rFonts w:ascii="Helvetica" w:hAnsi="Helvetica" w:cs="Arial"/>
          <w:sz w:val="20"/>
          <w:lang w:val="lt-LT"/>
        </w:rPr>
        <w:t>epitopų</w:t>
      </w:r>
      <w:proofErr w:type="spellEnd"/>
      <w:r w:rsidRPr="0056411C">
        <w:rPr>
          <w:rFonts w:ascii="Helvetica" w:hAnsi="Helvetica" w:cs="Arial"/>
          <w:sz w:val="20"/>
          <w:lang w:val="lt-LT"/>
        </w:rPr>
        <w:t>.</w:t>
      </w:r>
    </w:p>
    <w:p w14:paraId="442BD035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D324C2" w14:textId="75284AA9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8.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CAR pagal 1 punktą, kur</w:t>
      </w:r>
      <w:r w:rsidRPr="0056411C">
        <w:rPr>
          <w:rFonts w:ascii="Helvetica" w:hAnsi="Helvetica" w:cs="Arial"/>
          <w:sz w:val="20"/>
          <w:lang w:val="lt-LT"/>
        </w:rPr>
        <w:t xml:space="preserve">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(arba)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anti-CD19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>, apimantis CDR1, apiman</w:t>
      </w:r>
      <w:r w:rsidR="00F15D67" w:rsidRPr="0056411C">
        <w:rPr>
          <w:rFonts w:ascii="Helvetica" w:hAnsi="Helvetica" w:cs="Arial"/>
          <w:sz w:val="20"/>
          <w:lang w:val="lt-LT"/>
        </w:rPr>
        <w:t>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1, CDR2, </w:t>
      </w:r>
      <w:r w:rsidR="00F15D67" w:rsidRPr="0056411C">
        <w:rPr>
          <w:rFonts w:ascii="Helvetica" w:hAnsi="Helvetica" w:cs="Arial"/>
          <w:sz w:val="20"/>
          <w:lang w:val="lt-LT"/>
        </w:rPr>
        <w:t xml:space="preserve">apimančią </w:t>
      </w:r>
      <w:r w:rsidRPr="0056411C">
        <w:rPr>
          <w:rFonts w:ascii="Helvetica" w:hAnsi="Helvetica" w:cs="Arial"/>
          <w:sz w:val="20"/>
          <w:lang w:val="lt-LT"/>
        </w:rPr>
        <w:t xml:space="preserve">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2, ir CDR3, </w:t>
      </w:r>
      <w:r w:rsidR="00F15D67" w:rsidRPr="0056411C">
        <w:rPr>
          <w:rFonts w:ascii="Helvetica" w:hAnsi="Helvetica" w:cs="Arial"/>
          <w:sz w:val="20"/>
          <w:lang w:val="lt-LT"/>
        </w:rPr>
        <w:t xml:space="preserve">apimančią </w:t>
      </w:r>
      <w:r w:rsidRPr="0056411C">
        <w:rPr>
          <w:rFonts w:ascii="Helvetica" w:hAnsi="Helvetica" w:cs="Arial"/>
          <w:sz w:val="20"/>
          <w:lang w:val="lt-LT"/>
        </w:rPr>
        <w:t xml:space="preserve">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3.</w:t>
      </w:r>
    </w:p>
    <w:p w14:paraId="59E0FBCE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75B44B" w14:textId="1DDBE7B1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9.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CAR pagal 1 punktą, kur</w:t>
      </w:r>
      <w:r w:rsidRPr="0056411C">
        <w:rPr>
          <w:rFonts w:ascii="Helvetica" w:hAnsi="Helvetica" w:cs="Arial"/>
          <w:sz w:val="20"/>
          <w:lang w:val="lt-LT"/>
        </w:rPr>
        <w:t xml:space="preserve">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(arba)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anti-CD20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, apimantis CDR1, </w:t>
      </w:r>
      <w:r w:rsidR="00F15D67" w:rsidRPr="0056411C">
        <w:rPr>
          <w:rFonts w:ascii="Helvetica" w:hAnsi="Helvetica" w:cs="Arial"/>
          <w:sz w:val="20"/>
          <w:lang w:val="lt-LT"/>
        </w:rPr>
        <w:t xml:space="preserve">apimančią </w:t>
      </w:r>
      <w:r w:rsidRPr="0056411C">
        <w:rPr>
          <w:rFonts w:ascii="Helvetica" w:hAnsi="Helvetica" w:cs="Arial"/>
          <w:sz w:val="20"/>
          <w:lang w:val="lt-LT"/>
        </w:rPr>
        <w:t xml:space="preserve">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4, CDR2, </w:t>
      </w:r>
      <w:r w:rsidR="00F15D67" w:rsidRPr="0056411C">
        <w:rPr>
          <w:rFonts w:ascii="Helvetica" w:hAnsi="Helvetica" w:cs="Arial"/>
          <w:sz w:val="20"/>
          <w:lang w:val="lt-LT"/>
        </w:rPr>
        <w:t xml:space="preserve">apimančią </w:t>
      </w:r>
      <w:r w:rsidRPr="0056411C">
        <w:rPr>
          <w:rFonts w:ascii="Helvetica" w:hAnsi="Helvetica" w:cs="Arial"/>
          <w:sz w:val="20"/>
          <w:lang w:val="lt-LT"/>
        </w:rPr>
        <w:t xml:space="preserve">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5, ir CDR3, </w:t>
      </w:r>
      <w:r w:rsidR="00F15D67" w:rsidRPr="0056411C">
        <w:rPr>
          <w:rFonts w:ascii="Helvetica" w:hAnsi="Helvetica" w:cs="Arial"/>
          <w:sz w:val="20"/>
          <w:lang w:val="lt-LT"/>
        </w:rPr>
        <w:t xml:space="preserve">apimančią </w:t>
      </w:r>
      <w:r w:rsidRPr="0056411C">
        <w:rPr>
          <w:rFonts w:ascii="Helvetica" w:hAnsi="Helvetica" w:cs="Arial"/>
          <w:sz w:val="20"/>
          <w:lang w:val="lt-LT"/>
        </w:rPr>
        <w:t xml:space="preserve">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6.</w:t>
      </w:r>
    </w:p>
    <w:p w14:paraId="778CB075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F6683C" w14:textId="239CE268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10.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CAR pagal 1 punktą, kur</w:t>
      </w:r>
      <w:r w:rsidRPr="0056411C">
        <w:rPr>
          <w:rFonts w:ascii="Helvetica" w:hAnsi="Helvetica" w:cs="Arial"/>
          <w:sz w:val="20"/>
          <w:lang w:val="lt-LT"/>
        </w:rPr>
        <w:t xml:space="preserve">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(arba)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6411C">
        <w:rPr>
          <w:rFonts w:ascii="Helvetica" w:hAnsi="Helvetica" w:cs="Arial"/>
          <w:sz w:val="20"/>
          <w:lang w:val="lt-LT"/>
        </w:rPr>
        <w:t>anti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-BCMA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>, apimantis bet kur</w:t>
      </w:r>
      <w:r w:rsidR="00F15D67" w:rsidRPr="0056411C">
        <w:rPr>
          <w:rFonts w:ascii="Helvetica" w:hAnsi="Helvetica" w:cs="Arial"/>
          <w:sz w:val="20"/>
          <w:lang w:val="lt-LT"/>
        </w:rPr>
        <w:t>ią vieną</w:t>
      </w:r>
      <w:r w:rsidRPr="0056411C">
        <w:rPr>
          <w:rFonts w:ascii="Helvetica" w:hAnsi="Helvetica" w:cs="Arial"/>
          <w:sz w:val="20"/>
          <w:lang w:val="lt-LT"/>
        </w:rPr>
        <w:t xml:space="preserve"> iš šių:</w:t>
      </w:r>
    </w:p>
    <w:p w14:paraId="240E8B43" w14:textId="403B766B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(1)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 xml:space="preserve">apimančią </w:t>
      </w:r>
      <w:r w:rsidRPr="0056411C">
        <w:rPr>
          <w:rFonts w:ascii="Helvetica" w:hAnsi="Helvetica" w:cs="Arial"/>
          <w:sz w:val="20"/>
          <w:lang w:val="lt-LT"/>
        </w:rPr>
        <w:t xml:space="preserve">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7;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18;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29;</w:t>
      </w:r>
    </w:p>
    <w:p w14:paraId="4E23F70A" w14:textId="2C4CB1BD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(2)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8;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19;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30;</w:t>
      </w:r>
    </w:p>
    <w:p w14:paraId="0F2AE124" w14:textId="08F130EB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(3)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10;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21;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32;</w:t>
      </w:r>
    </w:p>
    <w:p w14:paraId="6F151FA5" w14:textId="01CCE1E3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(4)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11;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22;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33;</w:t>
      </w:r>
    </w:p>
    <w:p w14:paraId="4A439407" w14:textId="472D3B07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lastRenderedPageBreak/>
        <w:t>(5)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12;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23;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34;</w:t>
      </w:r>
    </w:p>
    <w:p w14:paraId="0A148EE5" w14:textId="01005B92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(6)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13;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24;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35;</w:t>
      </w:r>
    </w:p>
    <w:p w14:paraId="5ADC47CA" w14:textId="3475CA86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(7)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14;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25;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36;</w:t>
      </w:r>
    </w:p>
    <w:p w14:paraId="3E3CD7C1" w14:textId="1497205A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(8)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15;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26;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37; arba</w:t>
      </w:r>
    </w:p>
    <w:p w14:paraId="6058BF06" w14:textId="1E1D7461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(9)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17;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28;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39.</w:t>
      </w:r>
    </w:p>
    <w:p w14:paraId="5DBAD3F7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F058A7" w14:textId="475F787B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11.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CAR pagal 1 punktą, kur</w:t>
      </w:r>
      <w:r w:rsidRPr="0056411C">
        <w:rPr>
          <w:rFonts w:ascii="Helvetica" w:hAnsi="Helvetica" w:cs="Arial"/>
          <w:sz w:val="20"/>
          <w:lang w:val="lt-LT"/>
        </w:rPr>
        <w:t xml:space="preserve">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(arba)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anti-CD38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>, apimantis bet kur</w:t>
      </w:r>
      <w:r w:rsidR="00F15D67" w:rsidRPr="0056411C">
        <w:rPr>
          <w:rFonts w:ascii="Helvetica" w:hAnsi="Helvetica" w:cs="Arial"/>
          <w:sz w:val="20"/>
          <w:lang w:val="lt-LT"/>
        </w:rPr>
        <w:t>ią vieną</w:t>
      </w:r>
      <w:r w:rsidRPr="0056411C">
        <w:rPr>
          <w:rFonts w:ascii="Helvetica" w:hAnsi="Helvetica" w:cs="Arial"/>
          <w:sz w:val="20"/>
          <w:lang w:val="lt-LT"/>
        </w:rPr>
        <w:t xml:space="preserve"> iš šių:</w:t>
      </w:r>
    </w:p>
    <w:p w14:paraId="2285EE50" w14:textId="3262599E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(1)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40;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52;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64;</w:t>
      </w:r>
    </w:p>
    <w:p w14:paraId="07143F45" w14:textId="03D3B3F0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(2)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41;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53;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65;</w:t>
      </w:r>
    </w:p>
    <w:p w14:paraId="2ECBE321" w14:textId="14F9C97C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(3)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42;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54;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66;</w:t>
      </w:r>
    </w:p>
    <w:p w14:paraId="5ED53125" w14:textId="3FD02708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(4)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43;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55;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67;</w:t>
      </w:r>
    </w:p>
    <w:p w14:paraId="33CB2F36" w14:textId="24CD0391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(5)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44;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56;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68;</w:t>
      </w:r>
    </w:p>
    <w:p w14:paraId="14DEEB22" w14:textId="7CB5401C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(6)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45;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57;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69;</w:t>
      </w:r>
    </w:p>
    <w:p w14:paraId="46EF39E3" w14:textId="476F54A5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(7)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46;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58;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70;</w:t>
      </w:r>
    </w:p>
    <w:p w14:paraId="628C9EB1" w14:textId="125B7B94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(8)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47;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59;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71;</w:t>
      </w:r>
    </w:p>
    <w:p w14:paraId="47B0D55A" w14:textId="35A77AB9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(9) 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48;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60;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72;</w:t>
      </w:r>
    </w:p>
    <w:p w14:paraId="749CD376" w14:textId="25897051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(10)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49;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61;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73;</w:t>
      </w:r>
    </w:p>
    <w:p w14:paraId="0741C0DC" w14:textId="6665CD4E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(11)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50;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62; ir CDR3,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74; arba</w:t>
      </w:r>
    </w:p>
    <w:p w14:paraId="442D4780" w14:textId="15F7E021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(12)</w:t>
      </w:r>
      <w:r w:rsidR="00F23BB8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CDR1,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51; CDR2, </w:t>
      </w:r>
      <w:r w:rsidR="00F15D67" w:rsidRPr="0056411C">
        <w:rPr>
          <w:rFonts w:ascii="Helvetica" w:hAnsi="Helvetica" w:cs="Arial"/>
          <w:sz w:val="20"/>
          <w:lang w:val="lt-LT"/>
        </w:rPr>
        <w:t>apimančią</w:t>
      </w:r>
      <w:r w:rsidRPr="0056411C">
        <w:rPr>
          <w:rFonts w:ascii="Helvetica" w:hAnsi="Helvetica" w:cs="Arial"/>
          <w:sz w:val="20"/>
          <w:lang w:val="lt-LT"/>
        </w:rPr>
        <w:t xml:space="preserve">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 xml:space="preserve">63; ir CDR3, apimantis aminorūgščių seką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75.</w:t>
      </w:r>
    </w:p>
    <w:p w14:paraId="2BA8540E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02D311" w14:textId="563AA81B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12.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CAR </w:t>
      </w:r>
      <w:r w:rsidR="00F15D67" w:rsidRPr="0056411C">
        <w:rPr>
          <w:rFonts w:ascii="Helvetica" w:hAnsi="Helvetica" w:cs="Arial"/>
          <w:sz w:val="20"/>
          <w:lang w:val="lt-LT"/>
        </w:rPr>
        <w:t>pagal bet kurį vieną iš</w:t>
      </w:r>
      <w:r w:rsidRPr="0056411C">
        <w:rPr>
          <w:rFonts w:ascii="Helvetica" w:hAnsi="Helvetica" w:cs="Arial"/>
          <w:sz w:val="20"/>
          <w:lang w:val="lt-LT"/>
        </w:rPr>
        <w:t xml:space="preserve"> 1–11 punktų, kur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antrojo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N gale; arba kur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antrojo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C gale.</w:t>
      </w:r>
    </w:p>
    <w:p w14:paraId="71E3F5BC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0E19769" w14:textId="3DD15E15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13.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CAR </w:t>
      </w:r>
      <w:r w:rsidR="00F15D67" w:rsidRPr="0056411C">
        <w:rPr>
          <w:rFonts w:ascii="Helvetica" w:hAnsi="Helvetica" w:cs="Arial"/>
          <w:sz w:val="20"/>
          <w:lang w:val="lt-LT"/>
        </w:rPr>
        <w:t>pagal bet kurį vieną iš</w:t>
      </w:r>
      <w:r w:rsidRPr="0056411C">
        <w:rPr>
          <w:rFonts w:ascii="Helvetica" w:hAnsi="Helvetica" w:cs="Arial"/>
          <w:sz w:val="20"/>
          <w:lang w:val="lt-LT"/>
        </w:rPr>
        <w:t xml:space="preserve"> 1–12 punktų, kur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(arba)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</w:t>
      </w:r>
      <w:r w:rsidR="00F15D67" w:rsidRPr="0056411C">
        <w:rPr>
          <w:rFonts w:ascii="Helvetica" w:hAnsi="Helvetica" w:cs="Arial"/>
          <w:sz w:val="20"/>
          <w:lang w:val="lt-LT"/>
        </w:rPr>
        <w:t xml:space="preserve">iš </w:t>
      </w:r>
      <w:proofErr w:type="spellStart"/>
      <w:r w:rsidRPr="0056411C">
        <w:rPr>
          <w:rFonts w:ascii="Helvetica" w:hAnsi="Helvetica" w:cs="Arial"/>
          <w:sz w:val="20"/>
          <w:lang w:val="lt-LT"/>
        </w:rPr>
        <w:t>kupranugarinių</w:t>
      </w:r>
      <w:proofErr w:type="spellEnd"/>
      <w:r w:rsidRPr="0056411C">
        <w:rPr>
          <w:rFonts w:ascii="Helvetica" w:hAnsi="Helvetica" w:cs="Arial"/>
          <w:sz w:val="20"/>
          <w:lang w:val="lt-LT"/>
        </w:rPr>
        <w:t>, chimeriniai arba humanizuoti.</w:t>
      </w:r>
    </w:p>
    <w:p w14:paraId="2CF3290B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2549E3" w14:textId="33A76BC3" w:rsidR="00F15D67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lastRenderedPageBreak/>
        <w:t>14.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CAR </w:t>
      </w:r>
      <w:r w:rsidR="00F15D67" w:rsidRPr="0056411C">
        <w:rPr>
          <w:rFonts w:ascii="Helvetica" w:hAnsi="Helvetica" w:cs="Arial"/>
          <w:sz w:val="20"/>
          <w:lang w:val="lt-LT"/>
        </w:rPr>
        <w:t>pagal bet kurį vieną iš</w:t>
      </w:r>
      <w:r w:rsidRPr="0056411C">
        <w:rPr>
          <w:rFonts w:ascii="Helvetica" w:hAnsi="Helvetica" w:cs="Arial"/>
          <w:sz w:val="20"/>
          <w:lang w:val="lt-LT"/>
        </w:rPr>
        <w:t xml:space="preserve"> 1–13 punktų, kur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tiesiogiai su</w:t>
      </w:r>
      <w:r w:rsidR="00F15D67" w:rsidRPr="0056411C">
        <w:rPr>
          <w:rFonts w:ascii="Helvetica" w:hAnsi="Helvetica" w:cs="Arial"/>
          <w:sz w:val="20"/>
          <w:lang w:val="lt-LT"/>
        </w:rPr>
        <w:t>lieti</w:t>
      </w:r>
      <w:r w:rsidRPr="0056411C">
        <w:rPr>
          <w:rFonts w:ascii="Helvetica" w:hAnsi="Helvetica" w:cs="Arial"/>
          <w:sz w:val="20"/>
          <w:lang w:val="lt-LT"/>
        </w:rPr>
        <w:t xml:space="preserve"> vienas su kitu </w:t>
      </w:r>
      <w:r w:rsidR="00F15D67" w:rsidRPr="0056411C">
        <w:rPr>
          <w:rFonts w:ascii="Helvetica" w:hAnsi="Helvetica" w:cs="Arial"/>
          <w:sz w:val="20"/>
          <w:lang w:val="lt-LT"/>
        </w:rPr>
        <w:t xml:space="preserve">per </w:t>
      </w:r>
      <w:r w:rsidRPr="0056411C">
        <w:rPr>
          <w:rFonts w:ascii="Helvetica" w:hAnsi="Helvetica" w:cs="Arial"/>
          <w:sz w:val="20"/>
          <w:lang w:val="lt-LT"/>
        </w:rPr>
        <w:t>peptidin</w:t>
      </w:r>
      <w:r w:rsidR="00F15D67" w:rsidRPr="0056411C">
        <w:rPr>
          <w:rFonts w:ascii="Helvetica" w:hAnsi="Helvetica" w:cs="Arial"/>
          <w:sz w:val="20"/>
          <w:lang w:val="lt-LT"/>
        </w:rPr>
        <w:t>ę</w:t>
      </w:r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15D67" w:rsidRPr="0056411C">
        <w:rPr>
          <w:rFonts w:ascii="Helvetica" w:hAnsi="Helvetica" w:cs="Arial"/>
          <w:sz w:val="20"/>
          <w:lang w:val="lt-LT"/>
        </w:rPr>
        <w:t>jungtį</w:t>
      </w:r>
      <w:r w:rsidRPr="0056411C">
        <w:rPr>
          <w:rFonts w:ascii="Helvetica" w:hAnsi="Helvetica" w:cs="Arial"/>
          <w:sz w:val="20"/>
          <w:lang w:val="lt-LT"/>
        </w:rPr>
        <w:t xml:space="preserve">; arba </w:t>
      </w:r>
    </w:p>
    <w:p w14:paraId="6113FB08" w14:textId="18E15245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kur pirmasis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ir antrasis </w:t>
      </w:r>
      <w:proofErr w:type="spellStart"/>
      <w:r w:rsidRPr="0056411C">
        <w:rPr>
          <w:rFonts w:ascii="Helvetica" w:hAnsi="Helvetica" w:cs="Arial"/>
          <w:sz w:val="20"/>
          <w:lang w:val="lt-LT"/>
        </w:rPr>
        <w:t>sdAb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yra </w:t>
      </w:r>
      <w:r w:rsidR="00F15D67" w:rsidRPr="0056411C">
        <w:rPr>
          <w:rFonts w:ascii="Helvetica" w:hAnsi="Helvetica" w:cs="Arial"/>
          <w:sz w:val="20"/>
          <w:lang w:val="lt-LT"/>
        </w:rPr>
        <w:t>sulieti vienas su kitu per peptidinį</w:t>
      </w:r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15D67" w:rsidRPr="0056411C">
        <w:rPr>
          <w:rFonts w:ascii="Helvetica" w:hAnsi="Helvetica" w:cs="Arial"/>
          <w:sz w:val="20"/>
          <w:lang w:val="lt-LT"/>
        </w:rPr>
        <w:t>jungtuką</w:t>
      </w:r>
      <w:r w:rsidRPr="0056411C">
        <w:rPr>
          <w:rFonts w:ascii="Helvetica" w:hAnsi="Helvetica" w:cs="Arial"/>
          <w:sz w:val="20"/>
          <w:lang w:val="lt-LT"/>
        </w:rPr>
        <w:t>, pageidautina, k</w:t>
      </w:r>
      <w:r w:rsidR="00F15D67" w:rsidRPr="0056411C">
        <w:rPr>
          <w:rFonts w:ascii="Helvetica" w:hAnsi="Helvetica" w:cs="Arial"/>
          <w:sz w:val="20"/>
          <w:lang w:val="lt-LT"/>
        </w:rPr>
        <w:t>ur</w:t>
      </w:r>
      <w:r w:rsidRPr="0056411C">
        <w:rPr>
          <w:rFonts w:ascii="Helvetica" w:hAnsi="Helvetica" w:cs="Arial"/>
          <w:sz w:val="20"/>
          <w:lang w:val="lt-LT"/>
        </w:rPr>
        <w:t xml:space="preserve"> peptidin</w:t>
      </w:r>
      <w:r w:rsidR="00F15D67" w:rsidRPr="0056411C">
        <w:rPr>
          <w:rFonts w:ascii="Helvetica" w:hAnsi="Helvetica" w:cs="Arial"/>
          <w:sz w:val="20"/>
          <w:lang w:val="lt-LT"/>
        </w:rPr>
        <w:t>ė</w:t>
      </w:r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15D67" w:rsidRPr="0056411C">
        <w:rPr>
          <w:rFonts w:ascii="Helvetica" w:hAnsi="Helvetica" w:cs="Arial"/>
          <w:sz w:val="20"/>
          <w:lang w:val="lt-LT"/>
        </w:rPr>
        <w:t>jungtis</w:t>
      </w:r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5F1912" w:rsidRPr="0056411C">
        <w:rPr>
          <w:rFonts w:ascii="Helvetica" w:hAnsi="Helvetica" w:cs="Arial"/>
          <w:sz w:val="20"/>
          <w:lang w:val="lt-LT"/>
        </w:rPr>
        <w:t>yra</w:t>
      </w:r>
      <w:r w:rsidRPr="0056411C">
        <w:rPr>
          <w:rFonts w:ascii="Helvetica" w:hAnsi="Helvetica" w:cs="Arial"/>
          <w:sz w:val="20"/>
          <w:lang w:val="lt-LT"/>
        </w:rPr>
        <w:t xml:space="preserve"> ne ilgesn</w:t>
      </w:r>
      <w:r w:rsidR="00F15D67" w:rsidRPr="0056411C">
        <w:rPr>
          <w:rFonts w:ascii="Helvetica" w:hAnsi="Helvetica" w:cs="Arial"/>
          <w:sz w:val="20"/>
          <w:lang w:val="lt-LT"/>
        </w:rPr>
        <w:t>ė</w:t>
      </w:r>
      <w:r w:rsidRPr="0056411C">
        <w:rPr>
          <w:rFonts w:ascii="Helvetica" w:hAnsi="Helvetica" w:cs="Arial"/>
          <w:sz w:val="20"/>
          <w:lang w:val="lt-LT"/>
        </w:rPr>
        <w:t xml:space="preserve"> kaip 50 aminorūgščių</w:t>
      </w:r>
      <w:r w:rsidR="00F15D67" w:rsidRPr="0056411C">
        <w:rPr>
          <w:rFonts w:ascii="Helvetica" w:hAnsi="Helvetica" w:cs="Arial"/>
          <w:sz w:val="20"/>
          <w:lang w:val="lt-LT"/>
        </w:rPr>
        <w:t xml:space="preserve"> ilgio</w:t>
      </w:r>
      <w:r w:rsidRPr="0056411C">
        <w:rPr>
          <w:rFonts w:ascii="Helvetica" w:hAnsi="Helvetica" w:cs="Arial"/>
          <w:sz w:val="20"/>
          <w:lang w:val="lt-LT"/>
        </w:rPr>
        <w:t>.</w:t>
      </w:r>
    </w:p>
    <w:p w14:paraId="70816A6C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58D95C" w14:textId="60EC82AD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15.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CAR </w:t>
      </w:r>
      <w:r w:rsidR="00F15D67" w:rsidRPr="0056411C">
        <w:rPr>
          <w:rFonts w:ascii="Helvetica" w:hAnsi="Helvetica" w:cs="Arial"/>
          <w:sz w:val="20"/>
          <w:lang w:val="lt-LT"/>
        </w:rPr>
        <w:t>pagal bet kurį vieną iš</w:t>
      </w:r>
      <w:r w:rsidRPr="0056411C">
        <w:rPr>
          <w:rFonts w:ascii="Helvetica" w:hAnsi="Helvetica" w:cs="Arial"/>
          <w:sz w:val="20"/>
          <w:lang w:val="lt-LT"/>
        </w:rPr>
        <w:t xml:space="preserve"> 1–14 punktų, kur</w:t>
      </w:r>
    </w:p>
    <w:p w14:paraId="78979D92" w14:textId="77777777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56411C">
        <w:rPr>
          <w:rFonts w:ascii="Helvetica" w:hAnsi="Helvetica" w:cs="Arial"/>
          <w:sz w:val="20"/>
          <w:lang w:val="lt-LT"/>
        </w:rPr>
        <w:t>transmembraninis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domenas yra gautas iš molekulės, pasirinktos iš grupės, kurią sudaro CD8α, CD4, CD28, CD137, CD80, CD86, CD152 ir PD1;</w:t>
      </w:r>
    </w:p>
    <w:p w14:paraId="6B84F3AE" w14:textId="0EECC841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vidu</w:t>
      </w:r>
      <w:r w:rsidRPr="0056411C">
        <w:rPr>
          <w:rFonts w:ascii="Helvetica" w:hAnsi="Helvetica" w:cs="Arial"/>
          <w:sz w:val="20"/>
          <w:lang w:val="lt-LT"/>
        </w:rPr>
        <w:t>ląstelinis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signalo perdavimo</w:t>
      </w:r>
      <w:r w:rsidRPr="0056411C">
        <w:rPr>
          <w:rFonts w:ascii="Helvetica" w:hAnsi="Helvetica" w:cs="Arial"/>
          <w:sz w:val="20"/>
          <w:lang w:val="lt-LT"/>
        </w:rPr>
        <w:t xml:space="preserve"> domenas apima pirminį imuninės </w:t>
      </w:r>
      <w:proofErr w:type="spellStart"/>
      <w:r w:rsidRPr="0056411C">
        <w:rPr>
          <w:rFonts w:ascii="Helvetica" w:hAnsi="Helvetica" w:cs="Arial"/>
          <w:sz w:val="20"/>
          <w:lang w:val="lt-LT"/>
        </w:rPr>
        <w:t>efektorinės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ląstelės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vidu</w:t>
      </w:r>
      <w:r w:rsidRPr="0056411C">
        <w:rPr>
          <w:rFonts w:ascii="Helvetica" w:hAnsi="Helvetica" w:cs="Arial"/>
          <w:sz w:val="20"/>
          <w:lang w:val="lt-LT"/>
        </w:rPr>
        <w:t>ląstelinį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signalo perdavimo</w:t>
      </w:r>
      <w:r w:rsidRPr="0056411C">
        <w:rPr>
          <w:rFonts w:ascii="Helvetica" w:hAnsi="Helvetica" w:cs="Arial"/>
          <w:sz w:val="20"/>
          <w:lang w:val="lt-LT"/>
        </w:rPr>
        <w:t xml:space="preserve"> domeną, kur</w:t>
      </w:r>
      <w:r w:rsidR="00996695" w:rsidRPr="0056411C">
        <w:rPr>
          <w:rFonts w:ascii="Helvetica" w:hAnsi="Helvetica" w:cs="Arial"/>
          <w:sz w:val="20"/>
          <w:lang w:val="lt-LT"/>
        </w:rPr>
        <w:t>,</w:t>
      </w:r>
      <w:r w:rsidRPr="0056411C">
        <w:rPr>
          <w:rFonts w:ascii="Helvetica" w:hAnsi="Helvetica" w:cs="Arial"/>
          <w:sz w:val="20"/>
          <w:lang w:val="lt-LT"/>
        </w:rPr>
        <w:t xml:space="preserve"> pasirinktinai</w:t>
      </w:r>
      <w:r w:rsidR="00996695" w:rsidRPr="0056411C">
        <w:rPr>
          <w:rFonts w:ascii="Helvetica" w:hAnsi="Helvetica" w:cs="Arial"/>
          <w:sz w:val="20"/>
          <w:lang w:val="lt-LT"/>
        </w:rPr>
        <w:t>,</w:t>
      </w:r>
      <w:r w:rsidRPr="0056411C">
        <w:rPr>
          <w:rFonts w:ascii="Helvetica" w:hAnsi="Helvetica" w:cs="Arial"/>
          <w:sz w:val="20"/>
          <w:lang w:val="lt-LT"/>
        </w:rPr>
        <w:t xml:space="preserve"> pirminis tarpląstelinis </w:t>
      </w:r>
      <w:r w:rsidR="00F23BB8" w:rsidRPr="0056411C">
        <w:rPr>
          <w:rFonts w:ascii="Helvetica" w:hAnsi="Helvetica" w:cs="Arial"/>
          <w:sz w:val="20"/>
          <w:lang w:val="lt-LT"/>
        </w:rPr>
        <w:t>signalo perdavimo</w:t>
      </w:r>
      <w:r w:rsidRPr="0056411C">
        <w:rPr>
          <w:rFonts w:ascii="Helvetica" w:hAnsi="Helvetica" w:cs="Arial"/>
          <w:sz w:val="20"/>
          <w:lang w:val="lt-LT"/>
        </w:rPr>
        <w:t xml:space="preserve"> domenas yra kilęs iš CD3ζ; ir (arba)</w:t>
      </w:r>
    </w:p>
    <w:p w14:paraId="66854DF9" w14:textId="198CF53A" w:rsidR="00F17A90" w:rsidRPr="0056411C" w:rsidRDefault="00F17A90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 xml:space="preserve">(iii)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vidu</w:t>
      </w:r>
      <w:r w:rsidRPr="0056411C">
        <w:rPr>
          <w:rFonts w:ascii="Helvetica" w:hAnsi="Helvetica" w:cs="Arial"/>
          <w:sz w:val="20"/>
          <w:lang w:val="lt-LT"/>
        </w:rPr>
        <w:t>ląstelinis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signalo perdavimo</w:t>
      </w:r>
      <w:r w:rsidRPr="0056411C">
        <w:rPr>
          <w:rFonts w:ascii="Helvetica" w:hAnsi="Helvetica" w:cs="Arial"/>
          <w:sz w:val="20"/>
          <w:lang w:val="lt-LT"/>
        </w:rPr>
        <w:t xml:space="preserve"> domenas apima </w:t>
      </w:r>
      <w:proofErr w:type="spellStart"/>
      <w:r w:rsidRPr="0056411C">
        <w:rPr>
          <w:rFonts w:ascii="Helvetica" w:hAnsi="Helvetica" w:cs="Arial"/>
          <w:sz w:val="20"/>
          <w:lang w:val="lt-LT"/>
        </w:rPr>
        <w:t>kostimuliacinį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signalo perdavimo</w:t>
      </w:r>
      <w:r w:rsidRPr="0056411C">
        <w:rPr>
          <w:rFonts w:ascii="Helvetica" w:hAnsi="Helvetica" w:cs="Arial"/>
          <w:sz w:val="20"/>
          <w:lang w:val="lt-LT"/>
        </w:rPr>
        <w:t xml:space="preserve"> domeną, kur </w:t>
      </w:r>
      <w:proofErr w:type="spellStart"/>
      <w:r w:rsidRPr="0056411C">
        <w:rPr>
          <w:rFonts w:ascii="Helvetica" w:hAnsi="Helvetica" w:cs="Arial"/>
          <w:sz w:val="20"/>
          <w:lang w:val="lt-LT"/>
        </w:rPr>
        <w:t>kostimuliacinis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signalo perdavimo</w:t>
      </w:r>
      <w:r w:rsidRPr="0056411C">
        <w:rPr>
          <w:rFonts w:ascii="Helvetica" w:hAnsi="Helvetica" w:cs="Arial"/>
          <w:sz w:val="20"/>
          <w:lang w:val="lt-LT"/>
        </w:rPr>
        <w:t xml:space="preserve"> domenas</w:t>
      </w:r>
      <w:r w:rsidR="00996695" w:rsidRPr="0056411C">
        <w:rPr>
          <w:rFonts w:ascii="Helvetica" w:hAnsi="Helvetica" w:cs="Arial"/>
          <w:sz w:val="20"/>
          <w:lang w:val="lt-LT"/>
        </w:rPr>
        <w:t>,</w:t>
      </w:r>
      <w:r w:rsidRPr="0056411C">
        <w:rPr>
          <w:rFonts w:ascii="Helvetica" w:hAnsi="Helvetica" w:cs="Arial"/>
          <w:sz w:val="20"/>
          <w:lang w:val="lt-LT"/>
        </w:rPr>
        <w:t xml:space="preserve"> pasirinktinai</w:t>
      </w:r>
      <w:r w:rsidR="00996695" w:rsidRPr="0056411C">
        <w:rPr>
          <w:rFonts w:ascii="Helvetica" w:hAnsi="Helvetica" w:cs="Arial"/>
          <w:sz w:val="20"/>
          <w:lang w:val="lt-LT"/>
        </w:rPr>
        <w:t>,</w:t>
      </w:r>
      <w:r w:rsidRPr="0056411C">
        <w:rPr>
          <w:rFonts w:ascii="Helvetica" w:hAnsi="Helvetica" w:cs="Arial"/>
          <w:sz w:val="20"/>
          <w:lang w:val="lt-LT"/>
        </w:rPr>
        <w:t xml:space="preserve"> yra gautas iš </w:t>
      </w:r>
      <w:proofErr w:type="spellStart"/>
      <w:r w:rsidRPr="0056411C">
        <w:rPr>
          <w:rFonts w:ascii="Helvetica" w:hAnsi="Helvetica" w:cs="Arial"/>
          <w:sz w:val="20"/>
          <w:lang w:val="lt-LT"/>
        </w:rPr>
        <w:t>kostimuliacinės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molekulės, pasirinktos iš grupės, kurią sudaro CD27, CD28, CD137, OX40, CD30, CD40, CD3, LFA-1, CD2, CD7, LIGHT, NKG2C, B7-H3, CD83 ligandai ir jų deriniai.</w:t>
      </w:r>
    </w:p>
    <w:p w14:paraId="3E38861E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9337E7" w14:textId="77641DE7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16.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CAR </w:t>
      </w:r>
      <w:r w:rsidR="00F15D67" w:rsidRPr="0056411C">
        <w:rPr>
          <w:rFonts w:ascii="Helvetica" w:hAnsi="Helvetica" w:cs="Arial"/>
          <w:sz w:val="20"/>
          <w:lang w:val="lt-LT"/>
        </w:rPr>
        <w:t>pagal bet kurį vieną iš</w:t>
      </w:r>
      <w:r w:rsidRPr="0056411C">
        <w:rPr>
          <w:rFonts w:ascii="Helvetica" w:hAnsi="Helvetica" w:cs="Arial"/>
          <w:sz w:val="20"/>
          <w:lang w:val="lt-LT"/>
        </w:rPr>
        <w:t xml:space="preserve"> 1–15 punktų, papildomai apimantis </w:t>
      </w:r>
      <w:r w:rsidR="00996695" w:rsidRPr="0056411C">
        <w:rPr>
          <w:rFonts w:ascii="Helvetica" w:hAnsi="Helvetica" w:cs="Arial"/>
          <w:sz w:val="20"/>
          <w:lang w:val="lt-LT"/>
        </w:rPr>
        <w:t>lanksto</w:t>
      </w:r>
      <w:r w:rsidRPr="0056411C">
        <w:rPr>
          <w:rFonts w:ascii="Helvetica" w:hAnsi="Helvetica" w:cs="Arial"/>
          <w:sz w:val="20"/>
          <w:lang w:val="lt-LT"/>
        </w:rPr>
        <w:t xml:space="preserve"> domeną, esantį tarp </w:t>
      </w:r>
      <w:proofErr w:type="spellStart"/>
      <w:r w:rsidRPr="0056411C">
        <w:rPr>
          <w:rFonts w:ascii="Helvetica" w:hAnsi="Helvetica" w:cs="Arial"/>
          <w:sz w:val="20"/>
          <w:lang w:val="lt-LT"/>
        </w:rPr>
        <w:t>ekstraląstelinio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antigeną surišančio domeno C galo ir </w:t>
      </w:r>
      <w:proofErr w:type="spellStart"/>
      <w:r w:rsidRPr="0056411C">
        <w:rPr>
          <w:rFonts w:ascii="Helvetica" w:hAnsi="Helvetica" w:cs="Arial"/>
          <w:sz w:val="20"/>
          <w:lang w:val="lt-LT"/>
        </w:rPr>
        <w:t>transmembraninio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domeno N galo, ir (arba) signalinį peptidą, esantį </w:t>
      </w:r>
      <w:proofErr w:type="spellStart"/>
      <w:r w:rsidRPr="0056411C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N gale.</w:t>
      </w:r>
    </w:p>
    <w:p w14:paraId="5C43F170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52A5DC" w14:textId="39BE4F4B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17.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F23BB8" w:rsidRPr="0056411C">
        <w:rPr>
          <w:rFonts w:ascii="Helvetica" w:hAnsi="Helvetica" w:cs="Arial"/>
          <w:sz w:val="20"/>
          <w:lang w:val="lt-LT"/>
        </w:rPr>
        <w:t>CAR pagal 1 punktą, kur</w:t>
      </w:r>
      <w:r w:rsidRPr="0056411C">
        <w:rPr>
          <w:rFonts w:ascii="Helvetica" w:hAnsi="Helvetica" w:cs="Arial"/>
          <w:sz w:val="20"/>
          <w:lang w:val="lt-LT"/>
        </w:rPr>
        <w:t xml:space="preserve"> CAR apima aminorūgščių seką, pa</w:t>
      </w:r>
      <w:r w:rsidR="00996695" w:rsidRPr="0056411C">
        <w:rPr>
          <w:rFonts w:ascii="Helvetica" w:hAnsi="Helvetica" w:cs="Arial"/>
          <w:sz w:val="20"/>
          <w:lang w:val="lt-LT"/>
        </w:rPr>
        <w:t>si</w:t>
      </w:r>
      <w:r w:rsidRPr="0056411C">
        <w:rPr>
          <w:rFonts w:ascii="Helvetica" w:hAnsi="Helvetica" w:cs="Arial"/>
          <w:sz w:val="20"/>
          <w:lang w:val="lt-LT"/>
        </w:rPr>
        <w:t xml:space="preserve">rinktą iš grupės, susidedančios iš SEQ ID </w:t>
      </w:r>
      <w:r w:rsidR="00F15D67" w:rsidRPr="0056411C">
        <w:rPr>
          <w:rFonts w:ascii="Helvetica" w:hAnsi="Helvetica" w:cs="Arial"/>
          <w:sz w:val="20"/>
          <w:lang w:val="lt-LT"/>
        </w:rPr>
        <w:t xml:space="preserve">Nr. </w:t>
      </w:r>
      <w:r w:rsidRPr="0056411C">
        <w:rPr>
          <w:rFonts w:ascii="Helvetica" w:hAnsi="Helvetica" w:cs="Arial"/>
          <w:sz w:val="20"/>
          <w:lang w:val="lt-LT"/>
        </w:rPr>
        <w:t>200, 201 ir 206–216.</w:t>
      </w:r>
    </w:p>
    <w:p w14:paraId="437724DD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D19930" w14:textId="3F36BCFC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18.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Izoliuota nukleorūgštis, apimanti nukleorūgščių seką, koduojančią </w:t>
      </w:r>
      <w:r w:rsidR="00996695" w:rsidRPr="0056411C">
        <w:rPr>
          <w:rFonts w:ascii="Helvetica" w:hAnsi="Helvetica" w:cs="Arial"/>
          <w:sz w:val="20"/>
          <w:lang w:val="lt-LT"/>
        </w:rPr>
        <w:t>CAR pagal bet kurį vieną iš</w:t>
      </w:r>
      <w:r w:rsidRPr="0056411C">
        <w:rPr>
          <w:rFonts w:ascii="Helvetica" w:hAnsi="Helvetica" w:cs="Arial"/>
          <w:sz w:val="20"/>
          <w:lang w:val="lt-LT"/>
        </w:rPr>
        <w:t xml:space="preserve"> 1–17 punktų.</w:t>
      </w:r>
    </w:p>
    <w:p w14:paraId="76508A3B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6AB622" w14:textId="3F2A0CDA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19.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996695" w:rsidRPr="0056411C">
        <w:rPr>
          <w:rFonts w:ascii="Helvetica" w:hAnsi="Helvetica" w:cs="Arial"/>
          <w:sz w:val="20"/>
          <w:lang w:val="lt-LT"/>
        </w:rPr>
        <w:t xml:space="preserve">Vektorius, apimantis izoliuotą nukleorūgštį pagal </w:t>
      </w:r>
      <w:r w:rsidRPr="0056411C">
        <w:rPr>
          <w:rFonts w:ascii="Helvetica" w:hAnsi="Helvetica" w:cs="Arial"/>
          <w:sz w:val="20"/>
          <w:lang w:val="lt-LT"/>
        </w:rPr>
        <w:t>18 punkt</w:t>
      </w:r>
      <w:r w:rsidR="00996695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>.</w:t>
      </w:r>
    </w:p>
    <w:p w14:paraId="5AE123BF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F625D9" w14:textId="5B8B7644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20.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Rekombinantinė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imuninė </w:t>
      </w:r>
      <w:proofErr w:type="spellStart"/>
      <w:r w:rsidRPr="0056411C">
        <w:rPr>
          <w:rFonts w:ascii="Helvetica" w:hAnsi="Helvetica" w:cs="Arial"/>
          <w:sz w:val="20"/>
          <w:lang w:val="lt-LT"/>
        </w:rPr>
        <w:t>efektorinė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ląstelė, apimanti </w:t>
      </w:r>
      <w:r w:rsidR="00996695" w:rsidRPr="0056411C">
        <w:rPr>
          <w:rFonts w:ascii="Helvetica" w:hAnsi="Helvetica" w:cs="Arial"/>
          <w:sz w:val="20"/>
          <w:lang w:val="lt-LT"/>
        </w:rPr>
        <w:t>CAR pagal bet kurį vieną iš 1–17 punktų</w:t>
      </w:r>
      <w:r w:rsidRPr="0056411C">
        <w:rPr>
          <w:rFonts w:ascii="Helvetica" w:hAnsi="Helvetica" w:cs="Arial"/>
          <w:sz w:val="20"/>
          <w:lang w:val="lt-LT"/>
        </w:rPr>
        <w:t xml:space="preserve">, </w:t>
      </w:r>
      <w:r w:rsidR="00996695" w:rsidRPr="0056411C">
        <w:rPr>
          <w:rFonts w:ascii="Helvetica" w:hAnsi="Helvetica" w:cs="Arial"/>
          <w:sz w:val="20"/>
          <w:lang w:val="lt-LT"/>
        </w:rPr>
        <w:t>izoliuotą nukleorūgštį pagal 18 punktą</w:t>
      </w:r>
      <w:r w:rsidRPr="0056411C">
        <w:rPr>
          <w:rFonts w:ascii="Helvetica" w:hAnsi="Helvetica" w:cs="Arial"/>
          <w:sz w:val="20"/>
          <w:lang w:val="lt-LT"/>
        </w:rPr>
        <w:t xml:space="preserve"> arba </w:t>
      </w:r>
      <w:r w:rsidR="00996695" w:rsidRPr="0056411C">
        <w:rPr>
          <w:rFonts w:ascii="Helvetica" w:hAnsi="Helvetica" w:cs="Arial"/>
          <w:sz w:val="20"/>
          <w:lang w:val="lt-LT"/>
        </w:rPr>
        <w:t xml:space="preserve">vektorių pagal </w:t>
      </w:r>
      <w:r w:rsidRPr="0056411C">
        <w:rPr>
          <w:rFonts w:ascii="Helvetica" w:hAnsi="Helvetica" w:cs="Arial"/>
          <w:sz w:val="20"/>
          <w:lang w:val="lt-LT"/>
        </w:rPr>
        <w:t>19 punktą.</w:t>
      </w:r>
    </w:p>
    <w:p w14:paraId="017B4998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C80563" w14:textId="0ABF1885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21.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Rekombinantinė</w:t>
      </w:r>
      <w:proofErr w:type="spellEnd"/>
      <w:r w:rsidR="00996695" w:rsidRPr="0056411C">
        <w:rPr>
          <w:rFonts w:ascii="Helvetica" w:hAnsi="Helvetica" w:cs="Arial"/>
          <w:sz w:val="20"/>
          <w:lang w:val="lt-LT"/>
        </w:rPr>
        <w:t xml:space="preserve"> imuninė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efektorinė</w:t>
      </w:r>
      <w:proofErr w:type="spellEnd"/>
      <w:r w:rsidR="00996695" w:rsidRPr="0056411C">
        <w:rPr>
          <w:rFonts w:ascii="Helvetica" w:hAnsi="Helvetica" w:cs="Arial"/>
          <w:sz w:val="20"/>
          <w:lang w:val="lt-LT"/>
        </w:rPr>
        <w:t xml:space="preserve"> ląstelė pagal </w:t>
      </w:r>
      <w:r w:rsidRPr="0056411C">
        <w:rPr>
          <w:rFonts w:ascii="Helvetica" w:hAnsi="Helvetica" w:cs="Arial"/>
          <w:sz w:val="20"/>
          <w:lang w:val="lt-LT"/>
        </w:rPr>
        <w:t>20 punkt</w:t>
      </w:r>
      <w:r w:rsidR="00996695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rekombinantinė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imuninė </w:t>
      </w:r>
      <w:proofErr w:type="spellStart"/>
      <w:r w:rsidRPr="0056411C">
        <w:rPr>
          <w:rFonts w:ascii="Helvetica" w:hAnsi="Helvetica" w:cs="Arial"/>
          <w:sz w:val="20"/>
          <w:lang w:val="lt-LT"/>
        </w:rPr>
        <w:t>efektorinė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ląstelė yra T ląstelė.</w:t>
      </w:r>
    </w:p>
    <w:p w14:paraId="2AD9AE26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6B777D5" w14:textId="4A2EA2A4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22.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rekombinantinę</w:t>
      </w:r>
      <w:proofErr w:type="spellEnd"/>
      <w:r w:rsidR="00996695" w:rsidRPr="0056411C">
        <w:rPr>
          <w:rFonts w:ascii="Helvetica" w:hAnsi="Helvetica" w:cs="Arial"/>
          <w:sz w:val="20"/>
          <w:lang w:val="lt-LT"/>
        </w:rPr>
        <w:t xml:space="preserve"> imuninę </w:t>
      </w:r>
      <w:proofErr w:type="spellStart"/>
      <w:r w:rsidR="00996695" w:rsidRPr="0056411C">
        <w:rPr>
          <w:rFonts w:ascii="Helvetica" w:hAnsi="Helvetica" w:cs="Arial"/>
          <w:sz w:val="20"/>
          <w:lang w:val="lt-LT"/>
        </w:rPr>
        <w:t>efektorinę</w:t>
      </w:r>
      <w:proofErr w:type="spellEnd"/>
      <w:r w:rsidR="00996695" w:rsidRPr="0056411C">
        <w:rPr>
          <w:rFonts w:ascii="Helvetica" w:hAnsi="Helvetica" w:cs="Arial"/>
          <w:sz w:val="20"/>
          <w:lang w:val="lt-LT"/>
        </w:rPr>
        <w:t xml:space="preserve"> ląstelę pagal </w:t>
      </w:r>
      <w:r w:rsidRPr="0056411C">
        <w:rPr>
          <w:rFonts w:ascii="Helvetica" w:hAnsi="Helvetica" w:cs="Arial"/>
          <w:sz w:val="20"/>
          <w:lang w:val="lt-LT"/>
        </w:rPr>
        <w:t>20 arba 21 punkt</w:t>
      </w:r>
      <w:r w:rsidR="00996695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 xml:space="preserve"> ir farmaci</w:t>
      </w:r>
      <w:r w:rsidR="00996695" w:rsidRPr="0056411C">
        <w:rPr>
          <w:rFonts w:ascii="Helvetica" w:hAnsi="Helvetica" w:cs="Arial"/>
          <w:sz w:val="20"/>
          <w:lang w:val="lt-LT"/>
        </w:rPr>
        <w:t>niu požiūriu</w:t>
      </w:r>
      <w:r w:rsidRPr="0056411C">
        <w:rPr>
          <w:rFonts w:ascii="Helvetica" w:hAnsi="Helvetica" w:cs="Arial"/>
          <w:sz w:val="20"/>
          <w:lang w:val="lt-LT"/>
        </w:rPr>
        <w:t xml:space="preserve"> priimtiną nešiklį.</w:t>
      </w:r>
    </w:p>
    <w:p w14:paraId="684236CA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9EA5C8" w14:textId="698819CD" w:rsidR="00F17A90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23.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="00996695" w:rsidRPr="0056411C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56411C">
        <w:rPr>
          <w:rFonts w:ascii="Helvetica" w:hAnsi="Helvetica" w:cs="Arial"/>
          <w:sz w:val="20"/>
          <w:lang w:val="lt-LT"/>
        </w:rPr>
        <w:t>22 punkt</w:t>
      </w:r>
      <w:r w:rsidR="00996695" w:rsidRPr="0056411C">
        <w:rPr>
          <w:rFonts w:ascii="Helvetica" w:hAnsi="Helvetica" w:cs="Arial"/>
          <w:sz w:val="20"/>
          <w:lang w:val="lt-LT"/>
        </w:rPr>
        <w:t>ą</w:t>
      </w:r>
      <w:r w:rsidRPr="0056411C">
        <w:rPr>
          <w:rFonts w:ascii="Helvetica" w:hAnsi="Helvetica" w:cs="Arial"/>
          <w:sz w:val="20"/>
          <w:lang w:val="lt-LT"/>
        </w:rPr>
        <w:t xml:space="preserve">, skirta </w:t>
      </w:r>
      <w:r w:rsidR="00996695" w:rsidRPr="0056411C">
        <w:rPr>
          <w:rFonts w:ascii="Helvetica" w:hAnsi="Helvetica" w:cs="Arial"/>
          <w:sz w:val="20"/>
          <w:lang w:val="lt-LT"/>
        </w:rPr>
        <w:t>pa</w:t>
      </w:r>
      <w:r w:rsidRPr="0056411C">
        <w:rPr>
          <w:rFonts w:ascii="Helvetica" w:hAnsi="Helvetica" w:cs="Arial"/>
          <w:sz w:val="20"/>
          <w:lang w:val="lt-LT"/>
        </w:rPr>
        <w:t>naudoti</w:t>
      </w:r>
      <w:r w:rsidR="00996695" w:rsidRPr="0056411C">
        <w:rPr>
          <w:rFonts w:ascii="Helvetica" w:hAnsi="Helvetica" w:cs="Arial"/>
          <w:sz w:val="20"/>
          <w:lang w:val="lt-LT"/>
        </w:rPr>
        <w:t xml:space="preserve"> taikant asmeniui</w:t>
      </w:r>
      <w:r w:rsidRPr="0056411C">
        <w:rPr>
          <w:rFonts w:ascii="Helvetica" w:hAnsi="Helvetica" w:cs="Arial"/>
          <w:sz w:val="20"/>
          <w:lang w:val="lt-LT"/>
        </w:rPr>
        <w:t xml:space="preserve"> vėžio gydymo </w:t>
      </w:r>
      <w:r w:rsidR="00996695" w:rsidRPr="0056411C">
        <w:rPr>
          <w:rFonts w:ascii="Helvetica" w:hAnsi="Helvetica" w:cs="Arial"/>
          <w:sz w:val="20"/>
          <w:lang w:val="lt-LT"/>
        </w:rPr>
        <w:t>būdą</w:t>
      </w:r>
      <w:r w:rsidRPr="0056411C">
        <w:rPr>
          <w:rFonts w:ascii="Helvetica" w:hAnsi="Helvetica" w:cs="Arial"/>
          <w:sz w:val="20"/>
          <w:lang w:val="lt-LT"/>
        </w:rPr>
        <w:t>, kur pirmasis antigenas ir antrasis antigenas yra naviko antigenai.</w:t>
      </w:r>
    </w:p>
    <w:p w14:paraId="60F0B64E" w14:textId="77777777" w:rsidR="009E425E" w:rsidRPr="0056411C" w:rsidRDefault="009E425E" w:rsidP="0056411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50F604" w14:textId="2CAD3CCA" w:rsidR="004E3D12" w:rsidRPr="0056411C" w:rsidRDefault="00F17A90" w:rsidP="0056411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6411C">
        <w:rPr>
          <w:rFonts w:ascii="Helvetica" w:hAnsi="Helvetica" w:cs="Arial"/>
          <w:sz w:val="20"/>
          <w:lang w:val="lt-LT"/>
        </w:rPr>
        <w:t>24.</w:t>
      </w:r>
      <w:r w:rsidR="009E425E" w:rsidRPr="0056411C">
        <w:rPr>
          <w:rFonts w:ascii="Helvetica" w:hAnsi="Helvetica" w:cs="Arial"/>
          <w:sz w:val="20"/>
          <w:lang w:val="lt-LT"/>
        </w:rPr>
        <w:t xml:space="preserve"> </w:t>
      </w:r>
      <w:r w:rsidRPr="0056411C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027D5D" w:rsidRPr="0056411C">
        <w:rPr>
          <w:rFonts w:ascii="Helvetica" w:hAnsi="Helvetica" w:cs="Arial"/>
          <w:sz w:val="20"/>
          <w:lang w:val="lt-LT"/>
        </w:rPr>
        <w:t>pa</w:t>
      </w:r>
      <w:r w:rsidRPr="0056411C">
        <w:rPr>
          <w:rFonts w:ascii="Helvetica" w:hAnsi="Helvetica" w:cs="Arial"/>
          <w:sz w:val="20"/>
          <w:lang w:val="lt-LT"/>
        </w:rPr>
        <w:t xml:space="preserve">naudoti pagal 23 punktą, kur vėžys yra dauginė mieloma, ūminė </w:t>
      </w:r>
      <w:proofErr w:type="spellStart"/>
      <w:r w:rsidRPr="0056411C">
        <w:rPr>
          <w:rFonts w:ascii="Helvetica" w:hAnsi="Helvetica" w:cs="Arial"/>
          <w:sz w:val="20"/>
          <w:lang w:val="lt-LT"/>
        </w:rPr>
        <w:t>limfoblastinė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leukemija arba lėtinė </w:t>
      </w:r>
      <w:proofErr w:type="spellStart"/>
      <w:r w:rsidRPr="0056411C">
        <w:rPr>
          <w:rFonts w:ascii="Helvetica" w:hAnsi="Helvetica" w:cs="Arial"/>
          <w:sz w:val="20"/>
          <w:lang w:val="lt-LT"/>
        </w:rPr>
        <w:t>limfocitinė</w:t>
      </w:r>
      <w:proofErr w:type="spellEnd"/>
      <w:r w:rsidRPr="0056411C">
        <w:rPr>
          <w:rFonts w:ascii="Helvetica" w:hAnsi="Helvetica" w:cs="Arial"/>
          <w:sz w:val="20"/>
          <w:lang w:val="lt-LT"/>
        </w:rPr>
        <w:t xml:space="preserve"> leukemija.</w:t>
      </w:r>
    </w:p>
    <w:sectPr w:rsidR="004E3D12" w:rsidRPr="0056411C" w:rsidSect="0056411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8863" w14:textId="77777777" w:rsidR="009930C9" w:rsidRDefault="009930C9" w:rsidP="007B0A41">
      <w:pPr>
        <w:spacing w:after="0" w:line="240" w:lineRule="auto"/>
      </w:pPr>
      <w:r>
        <w:separator/>
      </w:r>
    </w:p>
  </w:endnote>
  <w:endnote w:type="continuationSeparator" w:id="0">
    <w:p w14:paraId="540ED27E" w14:textId="77777777" w:rsidR="009930C9" w:rsidRDefault="009930C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1867F" w14:textId="77777777" w:rsidR="009930C9" w:rsidRDefault="009930C9" w:rsidP="007B0A41">
      <w:pPr>
        <w:spacing w:after="0" w:line="240" w:lineRule="auto"/>
      </w:pPr>
      <w:r>
        <w:separator/>
      </w:r>
    </w:p>
  </w:footnote>
  <w:footnote w:type="continuationSeparator" w:id="0">
    <w:p w14:paraId="636E7490" w14:textId="77777777" w:rsidR="009930C9" w:rsidRDefault="009930C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6181"/>
    <w:rsid w:val="00027AFF"/>
    <w:rsid w:val="00027D5D"/>
    <w:rsid w:val="000353D6"/>
    <w:rsid w:val="00053D3E"/>
    <w:rsid w:val="00060CD2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0F2D24"/>
    <w:rsid w:val="000F6FC5"/>
    <w:rsid w:val="0011001D"/>
    <w:rsid w:val="00120AC9"/>
    <w:rsid w:val="001308ED"/>
    <w:rsid w:val="0013504A"/>
    <w:rsid w:val="00136B3D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E3D12"/>
    <w:rsid w:val="004F06A1"/>
    <w:rsid w:val="00500B25"/>
    <w:rsid w:val="0053198F"/>
    <w:rsid w:val="005324BA"/>
    <w:rsid w:val="0053389E"/>
    <w:rsid w:val="00556FA2"/>
    <w:rsid w:val="00560B7D"/>
    <w:rsid w:val="0056411C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191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085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6F7077"/>
    <w:rsid w:val="00755AA1"/>
    <w:rsid w:val="007752B9"/>
    <w:rsid w:val="007760A8"/>
    <w:rsid w:val="00790202"/>
    <w:rsid w:val="00795D58"/>
    <w:rsid w:val="007A39AD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4505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930C9"/>
    <w:rsid w:val="00996695"/>
    <w:rsid w:val="009B138F"/>
    <w:rsid w:val="009B2E35"/>
    <w:rsid w:val="009B6C12"/>
    <w:rsid w:val="009C0650"/>
    <w:rsid w:val="009E1482"/>
    <w:rsid w:val="009E425E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67BF9"/>
    <w:rsid w:val="00A814FD"/>
    <w:rsid w:val="00A81593"/>
    <w:rsid w:val="00AA3A1F"/>
    <w:rsid w:val="00AD42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BE072E"/>
    <w:rsid w:val="00C1001A"/>
    <w:rsid w:val="00C13EC7"/>
    <w:rsid w:val="00C220FE"/>
    <w:rsid w:val="00C2766E"/>
    <w:rsid w:val="00C30968"/>
    <w:rsid w:val="00C636DD"/>
    <w:rsid w:val="00C642CD"/>
    <w:rsid w:val="00C72847"/>
    <w:rsid w:val="00C73E71"/>
    <w:rsid w:val="00C86DA9"/>
    <w:rsid w:val="00C902A3"/>
    <w:rsid w:val="00C91715"/>
    <w:rsid w:val="00CA5FE4"/>
    <w:rsid w:val="00CB40EC"/>
    <w:rsid w:val="00CB45E5"/>
    <w:rsid w:val="00CE42D1"/>
    <w:rsid w:val="00CF541F"/>
    <w:rsid w:val="00CF70D6"/>
    <w:rsid w:val="00D10809"/>
    <w:rsid w:val="00D15412"/>
    <w:rsid w:val="00D16824"/>
    <w:rsid w:val="00D22113"/>
    <w:rsid w:val="00D23A2A"/>
    <w:rsid w:val="00D30F69"/>
    <w:rsid w:val="00D434B1"/>
    <w:rsid w:val="00D54A23"/>
    <w:rsid w:val="00D55A30"/>
    <w:rsid w:val="00D56D60"/>
    <w:rsid w:val="00D82492"/>
    <w:rsid w:val="00D83DAA"/>
    <w:rsid w:val="00DA4CB2"/>
    <w:rsid w:val="00DB0AFF"/>
    <w:rsid w:val="00DB375D"/>
    <w:rsid w:val="00DC4E8F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D04B0"/>
    <w:rsid w:val="00F01CE8"/>
    <w:rsid w:val="00F15D67"/>
    <w:rsid w:val="00F17A90"/>
    <w:rsid w:val="00F2101A"/>
    <w:rsid w:val="00F23BB8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0B7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6681</Characters>
  <Application>Microsoft Office Word</Application>
  <DocSecurity>0</DocSecurity>
  <Lines>290</Lines>
  <Paragraphs>177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2026-02-17T11:49:00Z</dcterms:created>
  <dcterms:modified xsi:type="dcterms:W3CDTF">2026-03-03T08:35:00Z</dcterms:modified>
</cp:coreProperties>
</file>