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5D5B7" w14:textId="1F7EB143"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1.</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Antikūnas, kuris jungiasi prie</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žmogaus PD-1 (SEQ ID Nr:1),</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apimantis lengvąją grandinę (LC) ir sunkiąją grandinę (HC), kur lengvoji grandinė apima lengvosios grandinės kintamą sritį (LCVR) ir sunkioji grandinė apima sunkiosios grandinės kintamą sritį (HCVR), kur: </w:t>
      </w:r>
    </w:p>
    <w:p w14:paraId="0404A454" w14:textId="2903D32A"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 xml:space="preserve">(1) LCVR aminorūgščių seka yra kaip nurodyta sekoje SEQ ID </w:t>
      </w:r>
      <w:proofErr w:type="spellStart"/>
      <w:r w:rsidRPr="004729DA">
        <w:rPr>
          <w:rFonts w:ascii="Helvetica" w:hAnsi="Helvetica" w:cs="Arial"/>
          <w:sz w:val="20"/>
          <w:szCs w:val="22"/>
          <w:lang w:val="lt-LT"/>
        </w:rPr>
        <w:t>Nr</w:t>
      </w:r>
      <w:proofErr w:type="spellEnd"/>
      <w:r w:rsidRPr="004729DA">
        <w:rPr>
          <w:rFonts w:ascii="Helvetica" w:hAnsi="Helvetica" w:cs="Arial"/>
          <w:sz w:val="20"/>
          <w:szCs w:val="22"/>
          <w:lang w:val="lt-LT"/>
        </w:rPr>
        <w:t>: 15, ir HCVR</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aminorūgščių seka yra kaip nurodyta sekoje SEQ ID </w:t>
      </w:r>
      <w:proofErr w:type="spellStart"/>
      <w:r w:rsidRPr="004729DA">
        <w:rPr>
          <w:rFonts w:ascii="Helvetica" w:hAnsi="Helvetica" w:cs="Arial"/>
          <w:sz w:val="20"/>
          <w:szCs w:val="22"/>
          <w:lang w:val="lt-LT"/>
        </w:rPr>
        <w:t>Nr</w:t>
      </w:r>
      <w:proofErr w:type="spellEnd"/>
      <w:r w:rsidRPr="004729DA">
        <w:rPr>
          <w:rFonts w:ascii="Helvetica" w:hAnsi="Helvetica" w:cs="Arial"/>
          <w:sz w:val="20"/>
          <w:szCs w:val="22"/>
          <w:lang w:val="lt-LT"/>
        </w:rPr>
        <w:t>: 12; arba</w:t>
      </w:r>
    </w:p>
    <w:p w14:paraId="4120CBA2" w14:textId="3714E8C3"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(2) LCVR aminorūgščių seka yra kaip nurodyta sekoje SEQ ID Nr:15, ir HCVR</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aminorūgščių seka yra kaip nurodyta sekoje SEQ ID </w:t>
      </w:r>
      <w:proofErr w:type="spellStart"/>
      <w:r w:rsidRPr="004729DA">
        <w:rPr>
          <w:rFonts w:ascii="Helvetica" w:hAnsi="Helvetica" w:cs="Arial"/>
          <w:sz w:val="20"/>
          <w:szCs w:val="22"/>
          <w:lang w:val="lt-LT"/>
        </w:rPr>
        <w:t>Nr</w:t>
      </w:r>
      <w:proofErr w:type="spellEnd"/>
      <w:r w:rsidRPr="004729DA">
        <w:rPr>
          <w:rFonts w:ascii="Helvetica" w:hAnsi="Helvetica" w:cs="Arial"/>
          <w:sz w:val="20"/>
          <w:szCs w:val="22"/>
          <w:lang w:val="lt-LT"/>
        </w:rPr>
        <w:t>: 13; arba</w:t>
      </w:r>
    </w:p>
    <w:p w14:paraId="2230EAA2" w14:textId="7DD66200"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 xml:space="preserve">(3) LCVR aminorūgščių seka yra kaip nurodyta sekoje SEQ ID </w:t>
      </w:r>
      <w:proofErr w:type="spellStart"/>
      <w:r w:rsidRPr="004729DA">
        <w:rPr>
          <w:rFonts w:ascii="Helvetica" w:hAnsi="Helvetica" w:cs="Arial"/>
          <w:sz w:val="20"/>
          <w:szCs w:val="22"/>
          <w:lang w:val="lt-LT"/>
        </w:rPr>
        <w:t>Nr</w:t>
      </w:r>
      <w:proofErr w:type="spellEnd"/>
      <w:r w:rsidRPr="004729DA">
        <w:rPr>
          <w:rFonts w:ascii="Helvetica" w:hAnsi="Helvetica" w:cs="Arial"/>
          <w:sz w:val="20"/>
          <w:szCs w:val="22"/>
          <w:lang w:val="lt-LT"/>
        </w:rPr>
        <w:t>: 15, ir HCVR</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aminorūgščių seka yra kaip nurodyta sekoje SEQ ID </w:t>
      </w:r>
      <w:proofErr w:type="spellStart"/>
      <w:r w:rsidRPr="004729DA">
        <w:rPr>
          <w:rFonts w:ascii="Helvetica" w:hAnsi="Helvetica" w:cs="Arial"/>
          <w:sz w:val="20"/>
          <w:szCs w:val="22"/>
          <w:lang w:val="lt-LT"/>
        </w:rPr>
        <w:t>Nr</w:t>
      </w:r>
      <w:proofErr w:type="spellEnd"/>
      <w:r w:rsidRPr="004729DA">
        <w:rPr>
          <w:rFonts w:ascii="Helvetica" w:hAnsi="Helvetica" w:cs="Arial"/>
          <w:sz w:val="20"/>
          <w:szCs w:val="22"/>
          <w:lang w:val="lt-LT"/>
        </w:rPr>
        <w:t>: 14.</w:t>
      </w:r>
    </w:p>
    <w:p w14:paraId="10EE2319"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49A60817" w14:textId="4AC1A007"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2.</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Antikūnas pagal 1 punktą, kur LC aminorūgščių seka yra kaip nurodyta sekoje SEQ ID Nr:22, ir HC aminorūgščių seka yra kaip nurodyta sekoje SEQ ID Nr:16, SEQ ID Nr:17, SEQ ID Nr:18, SEQ ID Nr:19, SEQ ID Nr:20</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arba SEQ ID Nr:21.</w:t>
      </w:r>
    </w:p>
    <w:p w14:paraId="1BD1E25A"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01913FE3" w14:textId="046A0FAA"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3.</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Antikūnas pagal 2 punktą, kur:</w:t>
      </w:r>
    </w:p>
    <w:p w14:paraId="3C4C9FA9"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(1) LC aminorūgščių seka yra kaip nurodyta sekoje SEQ ID Nr:22, ir HC aminorūgščių seka yra kaip nurodyta sekoje SEQ ID Nr:16; arba</w:t>
      </w:r>
    </w:p>
    <w:p w14:paraId="6295F913"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(2) LC aminorūgščių seka yra kaip nurodyta sekoje SEQ ID Nr:22, ir HC aminorūgščių seka yra kaip nurodyta sekoje SEQ ID Nr:17; arba</w:t>
      </w:r>
    </w:p>
    <w:p w14:paraId="2E813BAC"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(3) LC aminorūgščių seka yra kaip nurodyta sekoje SEQ ID Nr:22, ir HC aminorūgščių seka yra kaip nurodyta sekoje SEQ ID Nr:18; arba</w:t>
      </w:r>
    </w:p>
    <w:p w14:paraId="2EDB134C"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(4) LC aminorūgščių seka yra kaip nurodyta sekoje SEQ ID Nr:22, ir HC aminorūgščių seka yra kaip nurodyta sekoje SEQ ID Nr:19; arba</w:t>
      </w:r>
    </w:p>
    <w:p w14:paraId="25800DF9"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(5) LC aminorūgščių seka yra kaip nurodyta sekoje SEQ ID Nr:22, ir HC aminorūgščių seka yra kaip nurodyta sekoje SEQ ID Nr:20; arba</w:t>
      </w:r>
    </w:p>
    <w:p w14:paraId="3CA4C83F" w14:textId="5DE55E2D"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(6) LC aminorūgščių seka yra kaip nurodyta sekoje SEQ ID Nr:22, ir HC aminorūgščių seka yra kaip nurodyta sekoje SEQ ID Nr:21.</w:t>
      </w:r>
    </w:p>
    <w:p w14:paraId="435AC920"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18A2FAF8" w14:textId="19C40668"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4.</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Antikūnas pagal 2 punktą, kuris apima dvi lengvąsias grandines ir dvi sunkiąsias grandines, kur kiekvienos lengvosios grandinės aminorūgščių seka yra kaip nurodyta sekoje SEQ ID Nr:22, ir kiekvienos sunkiosios grandinės aminorūgščių seka yra kaip nurodyta sekoje SEQ ID Nr:16, SEQ ID Nr:17, SEQ ID Nr:18, SEQ ID Nr:19, SEQ ID Nr:20, arba SEQ ID Nr:21.</w:t>
      </w:r>
    </w:p>
    <w:p w14:paraId="7075B498"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3F82CD04" w14:textId="1513EA72"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5.</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Antikūnas pagal 4 punktą, kur:</w:t>
      </w:r>
    </w:p>
    <w:p w14:paraId="17FFF2E3"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(1) kiekvienos lengvosios grandinės aminorūgščių seka yra kaip nurodyta sekoje SEQ ID Nr:22, ir kiekvienos sunkiosios grandinė aminorūgščių seka yra kaip nurodyta sekoje SEQ ID Nr:16; arba</w:t>
      </w:r>
    </w:p>
    <w:p w14:paraId="5115BF89"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(2) kiekvienos lengvosios grandinės aminorūgščių seka yra kaip nurodyta sekoje SEQ ID Nr:22, ir kiekvienos sunkiosios grandinės aminorūgščių seka yra kaip nurodyta sekoje SEQ ID Nr:17; arba</w:t>
      </w:r>
    </w:p>
    <w:p w14:paraId="4A61D923"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(3) kiekvienos lengvosios grandinės aminorūgščių seka yra kaip nurodyta sekoje SEQ ID Nr:22, ir kiekvienos sunkiosios grandinės aminorūgščių seka yra kaip nurodyta sekoje SEQ ID Nr:18; arba</w:t>
      </w:r>
    </w:p>
    <w:p w14:paraId="26D402E9"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(4) kiekvienos lengvosios grandinės aminorūgščių seka yra kaip nurodyta sekoje SEQ ID Nr:22, ir kiekvienos sunkiosios grandinės aminorūgščių seka yra kaip nurodyta sekoje SEQ ID Nr:19; arba</w:t>
      </w:r>
    </w:p>
    <w:p w14:paraId="2E806D67" w14:textId="77777777"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(5) kiekvienos lengvosios grandinės aminorūgščių seka yra kaip nurodyta sekoje SEQ ID Nr:22, ir kiekvienos sunkiosios grandinės aminorūgščių seka yra kaip nurodyta sekoje SEQ ID Nr:20; arba</w:t>
      </w:r>
    </w:p>
    <w:p w14:paraId="0FF1CA35" w14:textId="6E9E3024"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lastRenderedPageBreak/>
        <w:t>(6) kiekvienos lengvosios grandinės aminorūgščių seka yra kaip nurodyta sekoje SEQ ID Nr:22, ir kiekvienos sunkiosios grandinės aminorūgščių seka yra kaip nurodyta sekoje SEQ ID Nr:21.</w:t>
      </w:r>
    </w:p>
    <w:p w14:paraId="45A9B7E9"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49E71929" w14:textId="361E299F"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6.</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Antikūnas pagal 4 arba 5 punktą, kur viena iš sunkiųjų grandinių sudaro </w:t>
      </w:r>
      <w:proofErr w:type="spellStart"/>
      <w:r w:rsidRPr="004729DA">
        <w:rPr>
          <w:rFonts w:ascii="Helvetica" w:hAnsi="Helvetica" w:cs="Arial"/>
          <w:sz w:val="20"/>
          <w:szCs w:val="22"/>
          <w:lang w:val="lt-LT"/>
        </w:rPr>
        <w:t>tarpgrandininę</w:t>
      </w:r>
      <w:proofErr w:type="spellEnd"/>
      <w:r w:rsidRPr="004729DA">
        <w:rPr>
          <w:rFonts w:ascii="Helvetica" w:hAnsi="Helvetica" w:cs="Arial"/>
          <w:sz w:val="20"/>
          <w:szCs w:val="22"/>
          <w:lang w:val="lt-LT"/>
        </w:rPr>
        <w:t xml:space="preserve"> </w:t>
      </w:r>
      <w:proofErr w:type="spellStart"/>
      <w:r w:rsidRPr="004729DA">
        <w:rPr>
          <w:rFonts w:ascii="Helvetica" w:hAnsi="Helvetica" w:cs="Arial"/>
          <w:sz w:val="20"/>
          <w:szCs w:val="22"/>
          <w:lang w:val="lt-LT"/>
        </w:rPr>
        <w:t>disulfidinę</w:t>
      </w:r>
      <w:proofErr w:type="spellEnd"/>
      <w:r w:rsidRPr="004729DA">
        <w:rPr>
          <w:rFonts w:ascii="Helvetica" w:hAnsi="Helvetica" w:cs="Arial"/>
          <w:sz w:val="20"/>
          <w:szCs w:val="22"/>
          <w:lang w:val="lt-LT"/>
        </w:rPr>
        <w:t xml:space="preserve"> jungtį su viena iš lengvųjų grandinių, o kita sunkioji grandinė sudaro </w:t>
      </w:r>
      <w:proofErr w:type="spellStart"/>
      <w:r w:rsidRPr="004729DA">
        <w:rPr>
          <w:rFonts w:ascii="Helvetica" w:hAnsi="Helvetica" w:cs="Arial"/>
          <w:sz w:val="20"/>
          <w:szCs w:val="22"/>
          <w:lang w:val="lt-LT"/>
        </w:rPr>
        <w:t>tarpgrandininę</w:t>
      </w:r>
      <w:proofErr w:type="spellEnd"/>
      <w:r w:rsidRPr="004729DA">
        <w:rPr>
          <w:rFonts w:ascii="Helvetica" w:hAnsi="Helvetica" w:cs="Arial"/>
          <w:sz w:val="20"/>
          <w:szCs w:val="22"/>
          <w:lang w:val="lt-LT"/>
        </w:rPr>
        <w:t xml:space="preserve"> </w:t>
      </w:r>
      <w:proofErr w:type="spellStart"/>
      <w:r w:rsidRPr="004729DA">
        <w:rPr>
          <w:rFonts w:ascii="Helvetica" w:hAnsi="Helvetica" w:cs="Arial"/>
          <w:sz w:val="20"/>
          <w:szCs w:val="22"/>
          <w:lang w:val="lt-LT"/>
        </w:rPr>
        <w:t>disulfidinę</w:t>
      </w:r>
      <w:proofErr w:type="spellEnd"/>
      <w:r w:rsidRPr="004729DA">
        <w:rPr>
          <w:rFonts w:ascii="Helvetica" w:hAnsi="Helvetica" w:cs="Arial"/>
          <w:sz w:val="20"/>
          <w:szCs w:val="22"/>
          <w:lang w:val="lt-LT"/>
        </w:rPr>
        <w:t xml:space="preserve"> jungtį su kita lengvąja grandine, ir viena iš </w:t>
      </w:r>
    </w:p>
    <w:p w14:paraId="41BD25CB" w14:textId="1B012F9A" w:rsidR="00F832CC" w:rsidRPr="004729DA" w:rsidRDefault="00F832CC" w:rsidP="004729DA">
      <w:pPr>
        <w:suppressAutoHyphens w:val="0"/>
        <w:autoSpaceDE w:val="0"/>
        <w:spacing w:line="360" w:lineRule="auto"/>
        <w:jc w:val="both"/>
        <w:rPr>
          <w:rFonts w:ascii="Helvetica" w:hAnsi="Helvetica" w:cs="Arial"/>
          <w:sz w:val="20"/>
          <w:szCs w:val="22"/>
          <w:lang w:val="lt-LT"/>
        </w:rPr>
      </w:pPr>
      <w:r w:rsidRPr="004729DA">
        <w:rPr>
          <w:rFonts w:ascii="Helvetica" w:hAnsi="Helvetica" w:cs="Arial"/>
          <w:sz w:val="20"/>
          <w:szCs w:val="22"/>
          <w:lang w:val="lt-LT"/>
        </w:rPr>
        <w:t xml:space="preserve">sunkiųjų grandinių sudaro dvi </w:t>
      </w:r>
      <w:proofErr w:type="spellStart"/>
      <w:r w:rsidRPr="004729DA">
        <w:rPr>
          <w:rFonts w:ascii="Helvetica" w:hAnsi="Helvetica" w:cs="Arial"/>
          <w:sz w:val="20"/>
          <w:szCs w:val="22"/>
          <w:lang w:val="lt-LT"/>
        </w:rPr>
        <w:t>tarpgrandinines</w:t>
      </w:r>
      <w:proofErr w:type="spellEnd"/>
      <w:r w:rsidRPr="004729DA">
        <w:rPr>
          <w:rFonts w:ascii="Helvetica" w:hAnsi="Helvetica" w:cs="Arial"/>
          <w:sz w:val="20"/>
          <w:szCs w:val="22"/>
          <w:lang w:val="lt-LT"/>
        </w:rPr>
        <w:t xml:space="preserve"> </w:t>
      </w:r>
      <w:proofErr w:type="spellStart"/>
      <w:r w:rsidRPr="004729DA">
        <w:rPr>
          <w:rFonts w:ascii="Helvetica" w:hAnsi="Helvetica" w:cs="Arial"/>
          <w:sz w:val="20"/>
          <w:szCs w:val="22"/>
          <w:lang w:val="lt-LT"/>
        </w:rPr>
        <w:t>disulfidines</w:t>
      </w:r>
      <w:proofErr w:type="spellEnd"/>
      <w:r w:rsidRPr="004729DA">
        <w:rPr>
          <w:rFonts w:ascii="Helvetica" w:hAnsi="Helvetica" w:cs="Arial"/>
          <w:sz w:val="20"/>
          <w:szCs w:val="22"/>
          <w:lang w:val="lt-LT"/>
        </w:rPr>
        <w:t xml:space="preserve"> jungtis su kita sunkiąja grandine.</w:t>
      </w:r>
    </w:p>
    <w:p w14:paraId="178BE523"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105FA5CE" w14:textId="30058D30"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7.</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Antikūnas pagal bet kurį vieną iš 1-6 punktų, kur antikūnas yra </w:t>
      </w:r>
      <w:proofErr w:type="spellStart"/>
      <w:r w:rsidRPr="004729DA">
        <w:rPr>
          <w:rFonts w:ascii="Helvetica" w:hAnsi="Helvetica" w:cs="Arial"/>
          <w:sz w:val="20"/>
          <w:szCs w:val="22"/>
          <w:lang w:val="lt-LT"/>
        </w:rPr>
        <w:t>glikozilintas</w:t>
      </w:r>
      <w:proofErr w:type="spellEnd"/>
      <w:r w:rsidRPr="004729DA">
        <w:rPr>
          <w:rFonts w:ascii="Helvetica" w:hAnsi="Helvetica" w:cs="Arial"/>
          <w:sz w:val="20"/>
          <w:szCs w:val="22"/>
          <w:lang w:val="lt-LT"/>
        </w:rPr>
        <w:t>.</w:t>
      </w:r>
    </w:p>
    <w:p w14:paraId="600642A0" w14:textId="77777777" w:rsidR="004729DA" w:rsidRPr="004729DA" w:rsidRDefault="004729DA" w:rsidP="004729DA">
      <w:pPr>
        <w:suppressAutoHyphens w:val="0"/>
        <w:autoSpaceDE w:val="0"/>
        <w:spacing w:line="360" w:lineRule="auto"/>
        <w:ind w:firstLine="567"/>
        <w:jc w:val="both"/>
        <w:rPr>
          <w:rFonts w:ascii="Helvetica" w:hAnsi="Helvetica" w:cs="Arial"/>
          <w:sz w:val="20"/>
          <w:szCs w:val="22"/>
          <w:lang w:val="lt-LT"/>
        </w:rPr>
      </w:pPr>
    </w:p>
    <w:p w14:paraId="40688722" w14:textId="4325C021"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8.</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Žinduolio ląstelė, kuri apima DNR molekulę, apimančią </w:t>
      </w:r>
      <w:proofErr w:type="spellStart"/>
      <w:r w:rsidRPr="004729DA">
        <w:rPr>
          <w:rFonts w:ascii="Helvetica" w:hAnsi="Helvetica" w:cs="Arial"/>
          <w:sz w:val="20"/>
          <w:szCs w:val="22"/>
          <w:lang w:val="lt-LT"/>
        </w:rPr>
        <w:t>polinukleotido</w:t>
      </w:r>
      <w:proofErr w:type="spellEnd"/>
      <w:r w:rsidRPr="004729DA">
        <w:rPr>
          <w:rFonts w:ascii="Helvetica" w:hAnsi="Helvetica" w:cs="Arial"/>
          <w:sz w:val="20"/>
          <w:szCs w:val="22"/>
          <w:lang w:val="lt-LT"/>
        </w:rPr>
        <w:t xml:space="preserve"> seką, kuri koduoja </w:t>
      </w:r>
      <w:proofErr w:type="spellStart"/>
      <w:r w:rsidRPr="004729DA">
        <w:rPr>
          <w:rFonts w:ascii="Helvetica" w:hAnsi="Helvetica" w:cs="Arial"/>
          <w:sz w:val="20"/>
          <w:szCs w:val="22"/>
          <w:lang w:val="lt-LT"/>
        </w:rPr>
        <w:t>polipeptidą</w:t>
      </w:r>
      <w:proofErr w:type="spellEnd"/>
      <w:r w:rsidRPr="004729DA">
        <w:rPr>
          <w:rFonts w:ascii="Helvetica" w:hAnsi="Helvetica" w:cs="Arial"/>
          <w:sz w:val="20"/>
          <w:szCs w:val="22"/>
          <w:lang w:val="lt-LT"/>
        </w:rPr>
        <w:t xml:space="preserve">, kurio aminorūgščių seka yra kaip nurodyta sekoje SEQ ID Nr:22 ir </w:t>
      </w:r>
      <w:proofErr w:type="spellStart"/>
      <w:r w:rsidRPr="004729DA">
        <w:rPr>
          <w:rFonts w:ascii="Helvetica" w:hAnsi="Helvetica" w:cs="Arial"/>
          <w:sz w:val="20"/>
          <w:szCs w:val="22"/>
          <w:lang w:val="lt-LT"/>
        </w:rPr>
        <w:t>polinukleotido</w:t>
      </w:r>
      <w:proofErr w:type="spellEnd"/>
      <w:r w:rsidRPr="004729DA">
        <w:rPr>
          <w:rFonts w:ascii="Helvetica" w:hAnsi="Helvetica" w:cs="Arial"/>
          <w:sz w:val="20"/>
          <w:szCs w:val="22"/>
          <w:lang w:val="lt-LT"/>
        </w:rPr>
        <w:t xml:space="preserve"> seką, kuri koduoja </w:t>
      </w:r>
      <w:proofErr w:type="spellStart"/>
      <w:r w:rsidRPr="004729DA">
        <w:rPr>
          <w:rFonts w:ascii="Helvetica" w:hAnsi="Helvetica" w:cs="Arial"/>
          <w:sz w:val="20"/>
          <w:szCs w:val="22"/>
          <w:lang w:val="lt-LT"/>
        </w:rPr>
        <w:t>polipeptidą</w:t>
      </w:r>
      <w:proofErr w:type="spellEnd"/>
      <w:r w:rsidRPr="004729DA">
        <w:rPr>
          <w:rFonts w:ascii="Helvetica" w:hAnsi="Helvetica" w:cs="Arial"/>
          <w:sz w:val="20"/>
          <w:szCs w:val="22"/>
          <w:lang w:val="lt-LT"/>
        </w:rPr>
        <w:t xml:space="preserve">, kurio aminorūgščių seka yra kaip nurodyta sekoje SEQ ID Nr:17 arba SEQ ID Nr:20, kur ląstelė yra gebanti </w:t>
      </w:r>
      <w:proofErr w:type="spellStart"/>
      <w:r w:rsidRPr="004729DA">
        <w:rPr>
          <w:rFonts w:ascii="Helvetica" w:hAnsi="Helvetica" w:cs="Arial"/>
          <w:sz w:val="20"/>
          <w:szCs w:val="22"/>
          <w:lang w:val="lt-LT"/>
        </w:rPr>
        <w:t>ekspresuoti</w:t>
      </w:r>
      <w:proofErr w:type="spellEnd"/>
      <w:r w:rsidRPr="004729DA">
        <w:rPr>
          <w:rFonts w:ascii="Helvetica" w:hAnsi="Helvetica" w:cs="Arial"/>
          <w:sz w:val="20"/>
          <w:szCs w:val="22"/>
          <w:lang w:val="lt-LT"/>
        </w:rPr>
        <w:t xml:space="preserve"> antikūną, kuris apima lengvąją grandinę, kurios aminorūgščių seka yra kaip nurodyta sekoje SEQ ID Nr:22 ir sunkiąją grandinę, kurios aminorūgščių seka yra kaip nurodyta sekoje SEQ ID Nr:17 arba SEQ ID Nr:20.</w:t>
      </w:r>
    </w:p>
    <w:p w14:paraId="3ECDEE09"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0514FF25" w14:textId="6C1216B8"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9.</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Antikūno, apimančio lengvąją grandinę, kurios aminorūgščių seka yra kaip nurodyta sekoje SEQ ID Nr:22 ir sunkiąją grandinę, kurios aminorūgščių seka yra kaip nurodyta sekoje</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SEQ ID Nr:17 arba SEQ ID Nr:20, gavimo būdas, kuriame kultivuoja žinduolio ląstelę pagal 8 punktą tokiomis sąlygomis, kad </w:t>
      </w:r>
      <w:proofErr w:type="spellStart"/>
      <w:r w:rsidRPr="004729DA">
        <w:rPr>
          <w:rFonts w:ascii="Helvetica" w:hAnsi="Helvetica" w:cs="Arial"/>
          <w:sz w:val="20"/>
          <w:szCs w:val="22"/>
          <w:lang w:val="lt-LT"/>
        </w:rPr>
        <w:t>ekpresuotų</w:t>
      </w:r>
      <w:proofErr w:type="spellEnd"/>
      <w:r w:rsidRPr="004729DA">
        <w:rPr>
          <w:rFonts w:ascii="Helvetica" w:hAnsi="Helvetica" w:cs="Arial"/>
          <w:sz w:val="20"/>
          <w:szCs w:val="22"/>
          <w:lang w:val="lt-LT"/>
        </w:rPr>
        <w:t xml:space="preserve"> šį antikūną, ir išskiria šį </w:t>
      </w:r>
      <w:proofErr w:type="spellStart"/>
      <w:r w:rsidRPr="004729DA">
        <w:rPr>
          <w:rFonts w:ascii="Helvetica" w:hAnsi="Helvetica" w:cs="Arial"/>
          <w:sz w:val="20"/>
          <w:szCs w:val="22"/>
          <w:lang w:val="lt-LT"/>
        </w:rPr>
        <w:t>ekspresuotą</w:t>
      </w:r>
      <w:proofErr w:type="spellEnd"/>
      <w:r w:rsidRPr="004729DA">
        <w:rPr>
          <w:rFonts w:ascii="Helvetica" w:hAnsi="Helvetica" w:cs="Arial"/>
          <w:sz w:val="20"/>
          <w:szCs w:val="22"/>
          <w:lang w:val="lt-LT"/>
        </w:rPr>
        <w:t xml:space="preserve"> antikūną.</w:t>
      </w:r>
    </w:p>
    <w:p w14:paraId="75BB62A2"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118CCF1D" w14:textId="1C2F1532"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10.</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Farmacinė kompozicija, kuri apima antikūną pagal vieną iš 1-7 punktų ir priimtiną nešiklį, skiediklį arba </w:t>
      </w:r>
      <w:proofErr w:type="spellStart"/>
      <w:r w:rsidRPr="004729DA">
        <w:rPr>
          <w:rFonts w:ascii="Helvetica" w:hAnsi="Helvetica" w:cs="Arial"/>
          <w:sz w:val="20"/>
          <w:szCs w:val="22"/>
          <w:lang w:val="lt-LT"/>
        </w:rPr>
        <w:t>ekscipientą</w:t>
      </w:r>
      <w:proofErr w:type="spellEnd"/>
      <w:r w:rsidRPr="004729DA">
        <w:rPr>
          <w:rFonts w:ascii="Helvetica" w:hAnsi="Helvetica" w:cs="Arial"/>
          <w:sz w:val="20"/>
          <w:szCs w:val="22"/>
          <w:lang w:val="lt-LT"/>
        </w:rPr>
        <w:t>.</w:t>
      </w:r>
    </w:p>
    <w:p w14:paraId="64AC32B2"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61F24681" w14:textId="02616AEA" w:rsidR="00F832CC" w:rsidRPr="004729DA" w:rsidRDefault="00F832CC" w:rsidP="004729DA">
      <w:pPr>
        <w:suppressAutoHyphens w:val="0"/>
        <w:autoSpaceDE w:val="0"/>
        <w:spacing w:line="360" w:lineRule="auto"/>
        <w:ind w:firstLine="567"/>
        <w:jc w:val="both"/>
        <w:rPr>
          <w:rFonts w:ascii="Helvetica" w:hAnsi="Helvetica" w:cs="Arial"/>
          <w:sz w:val="20"/>
          <w:szCs w:val="22"/>
          <w:lang w:val="lt-LT"/>
        </w:rPr>
      </w:pPr>
      <w:r w:rsidRPr="004729DA">
        <w:rPr>
          <w:rFonts w:ascii="Helvetica" w:hAnsi="Helvetica" w:cs="Arial"/>
          <w:sz w:val="20"/>
          <w:szCs w:val="22"/>
          <w:lang w:val="lt-LT"/>
        </w:rPr>
        <w:t>11.</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Antikūnas pagal vieną iš 1-7 punktų, skirtas naudoti terapijoje, optimaliai vėžio gydymui, ypatingai kur vėžys yra melanoma, plaučių vėžys, galvos ir kaklo vėžys, gaubtinės ir tiesiosios žarnos vėžys, kasos vėžys, skrandžio vėžys, inkstų vėžys, šlapimo pūslės vėžys, prostatos vėžys, krūties vėžys, kiaušidžių vėžys arba kepenų ląstelių karcinoma. </w:t>
      </w:r>
    </w:p>
    <w:p w14:paraId="5199A9BB" w14:textId="77777777" w:rsidR="004729DA" w:rsidRPr="004729DA" w:rsidRDefault="004729DA" w:rsidP="004729DA">
      <w:pPr>
        <w:suppressAutoHyphens w:val="0"/>
        <w:autoSpaceDE w:val="0"/>
        <w:spacing w:line="360" w:lineRule="auto"/>
        <w:jc w:val="both"/>
        <w:rPr>
          <w:rFonts w:ascii="Helvetica" w:hAnsi="Helvetica" w:cs="Arial"/>
          <w:sz w:val="20"/>
          <w:szCs w:val="22"/>
          <w:lang w:val="lt-LT"/>
        </w:rPr>
      </w:pPr>
    </w:p>
    <w:p w14:paraId="26879AD5" w14:textId="712D81C8" w:rsidR="00F832CC" w:rsidRPr="004729DA" w:rsidRDefault="00F832CC" w:rsidP="004729DA">
      <w:pPr>
        <w:suppressAutoHyphens w:val="0"/>
        <w:autoSpaceDE w:val="0"/>
        <w:spacing w:line="360" w:lineRule="auto"/>
        <w:ind w:firstLine="567"/>
        <w:jc w:val="both"/>
        <w:rPr>
          <w:rFonts w:ascii="Helvetica" w:hAnsi="Helvetica"/>
          <w:sz w:val="20"/>
          <w:lang w:val="lt-LT"/>
        </w:rPr>
      </w:pPr>
      <w:r w:rsidRPr="004729DA">
        <w:rPr>
          <w:rFonts w:ascii="Helvetica" w:hAnsi="Helvetica" w:cs="Arial"/>
          <w:sz w:val="20"/>
          <w:szCs w:val="22"/>
          <w:lang w:val="lt-LT"/>
        </w:rPr>
        <w:t>12.</w:t>
      </w:r>
      <w:r w:rsidR="004729DA" w:rsidRPr="004729DA">
        <w:rPr>
          <w:rFonts w:ascii="Helvetica" w:hAnsi="Helvetica" w:cs="Arial"/>
          <w:sz w:val="20"/>
          <w:szCs w:val="22"/>
          <w:lang w:val="lt-LT"/>
        </w:rPr>
        <w:t xml:space="preserve"> </w:t>
      </w:r>
      <w:r w:rsidRPr="004729DA">
        <w:rPr>
          <w:rFonts w:ascii="Helvetica" w:hAnsi="Helvetica" w:cs="Arial"/>
          <w:sz w:val="20"/>
          <w:szCs w:val="22"/>
          <w:lang w:val="lt-LT"/>
        </w:rPr>
        <w:t xml:space="preserve">Antikūnas pagal vieną iš 1-7 punktų, skirtas naudoti vienu metu, atskirai arba paeiliui derinant su vienu arba daugiau </w:t>
      </w:r>
      <w:proofErr w:type="spellStart"/>
      <w:r w:rsidRPr="004729DA">
        <w:rPr>
          <w:rFonts w:ascii="Helvetica" w:hAnsi="Helvetica" w:cs="Arial"/>
          <w:sz w:val="20"/>
          <w:szCs w:val="22"/>
          <w:lang w:val="lt-LT"/>
        </w:rPr>
        <w:t>priešnavikinių</w:t>
      </w:r>
      <w:proofErr w:type="spellEnd"/>
      <w:r w:rsidRPr="004729DA">
        <w:rPr>
          <w:rFonts w:ascii="Helvetica" w:hAnsi="Helvetica" w:cs="Arial"/>
          <w:sz w:val="20"/>
          <w:szCs w:val="22"/>
          <w:lang w:val="lt-LT"/>
        </w:rPr>
        <w:t xml:space="preserve"> agentų, gydant vėžį, ypatingai kur vėžys yra melanoma, plaučių vėžys, galvos ir kaklo vėžys, gaubtinės ir tiesiosios žarnos vėžys, kasos vėžys, skrandžio vėžys, inkstų vėžys, šlapimo pūslės vėžys, prostatos vėžys, krūties vėžys, kiaušidžių vėžys arba kepenų ląstelių karcinoma. </w:t>
      </w:r>
    </w:p>
    <w:sectPr w:rsidR="00F832CC" w:rsidRPr="004729DA" w:rsidSect="004729DA">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D320" w14:textId="77777777" w:rsidR="000102AE" w:rsidRDefault="000102AE">
      <w:r>
        <w:separator/>
      </w:r>
    </w:p>
  </w:endnote>
  <w:endnote w:type="continuationSeparator" w:id="0">
    <w:p w14:paraId="4DDA2F62" w14:textId="77777777" w:rsidR="000102AE" w:rsidRDefault="00010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41D6" w14:textId="77777777" w:rsidR="000102AE" w:rsidRDefault="000102AE">
      <w:r>
        <w:separator/>
      </w:r>
    </w:p>
  </w:footnote>
  <w:footnote w:type="continuationSeparator" w:id="0">
    <w:p w14:paraId="68C8F6C3" w14:textId="77777777" w:rsidR="000102AE" w:rsidRDefault="00010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1"/>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FF9"/>
    <w:rsid w:val="000102AE"/>
    <w:rsid w:val="000E1FF9"/>
    <w:rsid w:val="004729DA"/>
    <w:rsid w:val="007312A8"/>
    <w:rsid w:val="00F83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0D8058"/>
  <w15:chartTrackingRefBased/>
  <w15:docId w15:val="{D36F230B-0105-435F-835A-8FD32C1E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val="en-GB" w:eastAsia="ar-SA"/>
    </w:rPr>
  </w:style>
  <w:style w:type="paragraph" w:styleId="Heading2">
    <w:name w:val="heading 2"/>
    <w:basedOn w:val="Heading"/>
    <w:next w:val="BodyText"/>
    <w:qFormat/>
    <w:pPr>
      <w:numPr>
        <w:ilvl w:val="1"/>
        <w:numId w:val="1"/>
      </w:numPr>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DefaultParagraphFont">
    <w:name w:val="WW-Default Paragraph Font"/>
  </w:style>
  <w:style w:type="character" w:customStyle="1" w:styleId="WW8Num1z0">
    <w:name w:val="WW8Num1z0"/>
    <w:rPr>
      <w:rFonts w:ascii="TimesLT" w:eastAsia="Times New Roman" w:hAnsi="TimesLT"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2z0">
    <w:name w:val="WW8Num2z0"/>
    <w:rPr>
      <w:rFonts w:ascii="TimesLT" w:eastAsia="Times New Roman" w:hAnsi="TimesLT"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5z0">
    <w:name w:val="WW8Num15z0"/>
    <w:rPr>
      <w:rFonts w:ascii="TimesLT" w:eastAsia="Times New Roman" w:hAnsi="TimesLT"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7z0">
    <w:name w:val="WW8Num17z0"/>
    <w:rPr>
      <w:rFonts w:ascii="Times New Roman" w:hAnsi="Times New Roman" w:cs="Times New Roman"/>
    </w:rPr>
  </w:style>
  <w:style w:type="character" w:customStyle="1" w:styleId="WW8Num19z0">
    <w:name w:val="WW8Num19z0"/>
    <w:rPr>
      <w:rFonts w:ascii="TimesLT" w:eastAsia="Times New Roman" w:hAnsi="TimesLT"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22z0">
    <w:name w:val="WW8Num22z0"/>
    <w:rPr>
      <w:rFonts w:ascii="TimesLT" w:eastAsia="Times New Roman" w:hAnsi="TimesLT"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rPr>
      <w:rFonts w:ascii="Symbol" w:hAnsi="Symbol" w:cs="Symbol"/>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DefaultParagraphFont1">
    <w:name w:val="WW-Default Paragraph Font1"/>
  </w:style>
  <w:style w:type="character" w:styleId="PageNumber">
    <w:name w:val="page number"/>
    <w:basedOn w:val="WW-DefaultParagraphFont1"/>
  </w:style>
  <w:style w:type="character" w:styleId="LineNumber">
    <w:name w:val="line number"/>
    <w:basedOn w:val="WW-DefaultParagraphFont1"/>
  </w:style>
  <w:style w:type="character" w:customStyle="1" w:styleId="BalloonTextChar">
    <w:name w:val="Balloon Text Char"/>
    <w:rPr>
      <w:rFonts w:ascii="Segoe UI" w:hAnsi="Segoe UI" w:cs="Segoe UI"/>
      <w:sz w:val="18"/>
      <w:szCs w:val="18"/>
      <w:lang w:val="en-GB"/>
    </w:rPr>
  </w:style>
  <w:style w:type="character" w:customStyle="1" w:styleId="FooterChar">
    <w:name w:val="Footer Char"/>
    <w:rPr>
      <w:sz w:val="24"/>
      <w:szCs w:val="24"/>
      <w:lang w:val="en-GB"/>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Arial Unicode MS"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Header">
    <w:name w:val="header"/>
    <w:basedOn w:val="Normal"/>
  </w:style>
  <w:style w:type="paragraph" w:styleId="BalloonText">
    <w:name w:val="Balloon Text"/>
    <w:basedOn w:val="Normal"/>
    <w:rPr>
      <w:rFonts w:ascii="Segoe UI" w:hAnsi="Segoe UI" w:cs="Segoe UI"/>
      <w:sz w:val="18"/>
      <w:szCs w:val="18"/>
    </w:rPr>
  </w:style>
  <w:style w:type="paragraph" w:styleId="ListParagraph">
    <w:name w:val="List Paragraph"/>
    <w:basedOn w:val="Normal"/>
    <w:qFormat/>
    <w:pPr>
      <w:ind w:left="1296"/>
    </w:pPr>
  </w:style>
  <w:style w:type="paragraph" w:styleId="Footer">
    <w:name w:val="footer"/>
    <w:basedOn w:val="Normal"/>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833</Words>
  <Characters>4645</Characters>
  <Application>Microsoft Office Word</Application>
  <DocSecurity>0</DocSecurity>
  <Lines>84</Lines>
  <Paragraphs>36</Paragraphs>
  <ScaleCrop>false</ScaleCrop>
  <HeadingPairs>
    <vt:vector size="2" baseType="variant">
      <vt:variant>
        <vt:lpstr>Title</vt:lpstr>
      </vt:variant>
      <vt:variant>
        <vt:i4>1</vt:i4>
      </vt:variant>
    </vt:vector>
  </HeadingPairs>
  <TitlesOfParts>
    <vt:vector size="1" baseType="lpstr">
      <vt:lpstr>IŠRADIMO APIBRĖŽTIS</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IŠRADIMO APIBRĖŽTIS</dc:title>
  <dc:subject/>
  <dc:creator>Liudmila</dc:creator>
  <cp:keywords/>
  <cp:lastModifiedBy>Raimonda Kvietkauskaitė</cp:lastModifiedBy>
  <cp:revision>2</cp:revision>
  <cp:lastPrinted>2022-01-20T11:48:00Z</cp:lastPrinted>
  <dcterms:created xsi:type="dcterms:W3CDTF">2022-01-24T07:01:00Z</dcterms:created>
  <dcterms:modified xsi:type="dcterms:W3CDTF">2022-01-24T07:01:00Z</dcterms:modified>
</cp:coreProperties>
</file>