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2C86" w14:textId="1D85F246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1. Sklerostino antagonistinis antikūnas, kuris specifiškai jungiasi su sklerostinu, skirtas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naudoti taikant kaulų tankio didinimo būdą pacientams, turintiems mažą kaulų masę,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sklerostino antagonistinis antikūnas yra įvedamas serijiniu būdu kartu su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antirezorbciniu vaistu.</w:t>
      </w:r>
    </w:p>
    <w:p w14:paraId="052375DA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3815CF62" w14:textId="3782DE85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2. Sklerostino antagonistinis antikūnas, skirtas naudoti pagal 1 punktą, kur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antagonistinis antikūnas veikia per LRP5 arba LRP6 tam, kad padidėtų kaulų tankis.</w:t>
      </w:r>
    </w:p>
    <w:p w14:paraId="280FD4B0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1CA3C107" w14:textId="1AEE8BAD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3. Sklerostino antagonistinis antikūnas, skirtas naudoti pagal 1 arba 2 punktą, kur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sklerostinas yra žmogaus sklerostinas, kurio seka yra SEQ ID Nr. 22.</w:t>
      </w:r>
    </w:p>
    <w:p w14:paraId="2A4D2185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5F8401F9" w14:textId="1797E3BC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4. Sklerostino antagonistinis antikūnas, skirtas naudoti pagal 1 punktą, kur minėtas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sklerostino antagonistinis antikūnas yra blokuojantis antikūnas.</w:t>
      </w:r>
    </w:p>
    <w:p w14:paraId="13D28F1E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7DD56707" w14:textId="53CB9A20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5. Sklerostino antagonistinis antikūnas, skirtas naudoti pagal 4 punktą, kur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blokuojantis antikūnas yra sklerostiną atpažįstantis blokuojantis antikūnas, kuris yra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FAB fragmentas, chimerinis antikūnas arba monokloninis antikūnas.</w:t>
      </w:r>
    </w:p>
    <w:p w14:paraId="1076C333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3731B14F" w14:textId="0F1306E6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6. Sklerostino antagonistinis antikūnas, skirtas naudoti pagal 5 punktą, kur sklerostiną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atpažįstantis antikūnas yra humanizuotas.</w:t>
      </w:r>
    </w:p>
    <w:p w14:paraId="5A1AF51B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5DF2FDF7" w14:textId="3F71F507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7. Sklerostino antagonistinis antikūnas, skirtas naudoti pagal bet kurį iš 1-6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kaulų tankio padidėjimas yra mažiausiai 10% arba bent 20%, arba bent 30%, arba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bent 40% didesnis po sklerostino antagonistinio antikūno vartojimo.</w:t>
      </w:r>
    </w:p>
    <w:p w14:paraId="3C616F61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46C737D1" w14:textId="2AA9CBA6" w:rsidR="0018473C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8. Sklerostino antagonistinis antikūnas, skirtas naudoti pagal bet kurį iš 1-7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sklerostino antagonistinis antikūnas yra skiriamas vartoti sistemiškai.</w:t>
      </w:r>
    </w:p>
    <w:p w14:paraId="5FA0E87A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327D1522" w14:textId="6AA3E127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9. Sklerostino antagonistinis antikūnas, skirtas naudoti pagal 8 punktą, kur sklerostino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antagonistinis antikūnas yra įvedamas injekcijomis maždaug 5 mg/kg arba maždaug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15 mg/kg, arba maždaug 50 mg/kg, arba maždaug 100 mg/kg, arba maždaug 200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mg/kg doze.</w:t>
      </w:r>
    </w:p>
    <w:p w14:paraId="53C94F50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60D43D67" w14:textId="21B39EFF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10. Sklerostino antagonistinis antikūnas, skirtas naudoti pagal 7 punktą, kur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sklerostino antagonistinis antikūnas yra skiriamas vartoti sistemiškai doze nuo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maždaug 0,01 iki maždaug 200 mg/kg kūno svorio.</w:t>
      </w:r>
    </w:p>
    <w:p w14:paraId="002FAC3E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1CAA29FA" w14:textId="7E722075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11. Sklerostino antagonistinis antikūnas, skirtas naudoti pagal bet kurį iš 1-7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sklerostino antagonistinis antikūnas yra įvedamas tiesiai į pažeistą vietą maždaug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0,01-100 μM koncentracija.</w:t>
      </w:r>
    </w:p>
    <w:p w14:paraId="65518905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2B663A80" w14:textId="6A522090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12. Sklerostino antagonistas, skirtas naudoti pagal bet kurį iš 1-11 punktų, kur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subjektas serga osteoporoze.</w:t>
      </w:r>
    </w:p>
    <w:p w14:paraId="122E5B5F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65DB733E" w14:textId="7E2BDBEB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13. Sklerostino antagonistinis antikūnas, skirtas naudoti pagal bet kurį iš 1-12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antirezorbcinis vaistas yra bisfosfonatas, PTH arba analogas, kalcitoninas arba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analogas, denozumabas, RANK-L antagonistas, vitaminas D arba analogas, arba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SERM arba analogas.</w:t>
      </w:r>
    </w:p>
    <w:p w14:paraId="7770A3DB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0864016C" w14:textId="54B8B14B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lastRenderedPageBreak/>
        <w:t>14. Sklerostino antagonistinis antikūnas, skirtas naudoti pagal bet kurį iš 1-13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antirezorbcinis vaistas yra denozumabas arba RANK-L antagonistas.</w:t>
      </w:r>
    </w:p>
    <w:p w14:paraId="75774B53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69A4AD14" w14:textId="7A6BBA1D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15. Sklerostino antagonistinis antikūnas, skirtas naudoti pagal bet kurį iš 1-13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antirezorbcinis vaistas yra vitaminas D.</w:t>
      </w:r>
    </w:p>
    <w:p w14:paraId="6D8D4783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45CAB98C" w14:textId="119BD515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16. Sklerostino antagonistinis antikūnas, skirtas naudoti pagal bet kurį iš 1-15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minėtas antirezorbcinis preparatas yra skiriamas vartoti pacientui prieš skiriant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minėtą sklerostino antagonistinį antikūną.</w:t>
      </w:r>
    </w:p>
    <w:p w14:paraId="1598447E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2704C0B6" w14:textId="020DCB0D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17. Sklerostino antagonistinis antikūnas, skirtas naudoti pagal bet kurį iš 1-14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minėtas antirezorbcinis vaistas yra skiriamas vartoti pacientui po to, kai buvo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paskirtas minėtas sklerostino antagonistinis antikūnas.</w:t>
      </w:r>
    </w:p>
    <w:p w14:paraId="5EA9B116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35730361" w14:textId="00B31892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18. Sklerostino antagonistinis antikūnas, skirtas naudoti pagal bet kurį iš 1-14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minėtas pacientas anksčiau buvo gydytas minėtu antirezorbciniu vaistu.</w:t>
      </w:r>
    </w:p>
    <w:p w14:paraId="45BEF879" w14:textId="77777777" w:rsidR="004B39A9" w:rsidRPr="004B39A9" w:rsidRDefault="004B39A9" w:rsidP="004B39A9">
      <w:pPr>
        <w:spacing w:line="360" w:lineRule="auto"/>
        <w:jc w:val="both"/>
        <w:rPr>
          <w:rFonts w:ascii="Helvetica" w:hAnsi="Helvetica"/>
          <w:szCs w:val="24"/>
        </w:rPr>
      </w:pPr>
    </w:p>
    <w:p w14:paraId="20E03275" w14:textId="23C71382" w:rsidR="004B39A9" w:rsidRPr="004B39A9" w:rsidRDefault="004B39A9" w:rsidP="004B39A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4B39A9">
        <w:rPr>
          <w:rFonts w:ascii="Helvetica" w:hAnsi="Helvetica"/>
          <w:szCs w:val="24"/>
        </w:rPr>
        <w:t>19. Sklerostino antagonistinis antikūnas, skirtas naudoti pagal bet kurį iš 1-14 punktų,</w:t>
      </w:r>
      <w:r w:rsidRPr="004B39A9">
        <w:rPr>
          <w:rFonts w:ascii="Helvetica" w:hAnsi="Helvetica"/>
          <w:szCs w:val="24"/>
        </w:rPr>
        <w:t xml:space="preserve"> </w:t>
      </w:r>
      <w:r w:rsidRPr="004B39A9">
        <w:rPr>
          <w:rFonts w:ascii="Helvetica" w:hAnsi="Helvetica"/>
          <w:szCs w:val="24"/>
        </w:rPr>
        <w:t>kur minėtas pacientas anksčiau nebuvo gydytas minėtu antirezorbciniu vaistu.</w:t>
      </w:r>
    </w:p>
    <w:sectPr w:rsidR="004B39A9" w:rsidRPr="004B39A9" w:rsidSect="004B39A9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ED57" w14:textId="77777777" w:rsidR="00DA1A61" w:rsidRDefault="00DA1A61" w:rsidP="004B39A9">
      <w:r>
        <w:separator/>
      </w:r>
    </w:p>
  </w:endnote>
  <w:endnote w:type="continuationSeparator" w:id="0">
    <w:p w14:paraId="7D8ECE6E" w14:textId="77777777" w:rsidR="00DA1A61" w:rsidRDefault="00DA1A61" w:rsidP="004B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3DCD" w14:textId="77777777" w:rsidR="00DA1A61" w:rsidRDefault="00DA1A61" w:rsidP="004B39A9">
      <w:r>
        <w:separator/>
      </w:r>
    </w:p>
  </w:footnote>
  <w:footnote w:type="continuationSeparator" w:id="0">
    <w:p w14:paraId="2DE8E201" w14:textId="77777777" w:rsidR="00DA1A61" w:rsidRDefault="00DA1A61" w:rsidP="004B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39A9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39A9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A1A61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63C20"/>
  <w15:chartTrackingRefBased/>
  <w15:docId w15:val="{9C9BB938-A286-4CBB-A480-8627A66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A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9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3169</Characters>
  <Application>Microsoft Office Word</Application>
  <DocSecurity>0</DocSecurity>
  <Lines>67</Lines>
  <Paragraphs>23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2022-12-19T14:58:00Z</dcterms:created>
  <dcterms:modified xsi:type="dcterms:W3CDTF">2022-12-19T15:03:00Z</dcterms:modified>
</cp:coreProperties>
</file>