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67BE" w14:textId="1F9BCD95" w:rsidR="00E05828" w:rsidRPr="005901EB" w:rsidRDefault="00B70727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hGDF-15 inhibitorius, skirtas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oti 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vėžio imunoterapijos būd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>ą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, kur</w:t>
      </w:r>
      <w:r w:rsidR="00FC5BAF" w:rsidRPr="005901EB">
        <w:rPr>
          <w:rFonts w:ascii="Helvetica" w:hAnsi="Helvetica" w:cs="Arial"/>
          <w:sz w:val="20"/>
          <w:szCs w:val="24"/>
          <w:lang w:val="lt-LT"/>
        </w:rPr>
        <w:t xml:space="preserve"> būdas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žmogaus </w:t>
      </w:r>
      <w:proofErr w:type="spellStart"/>
      <w:r w:rsidR="00E05828" w:rsidRPr="005901EB">
        <w:rPr>
          <w:rFonts w:ascii="Helvetica" w:hAnsi="Helvetica" w:cs="Arial"/>
          <w:sz w:val="20"/>
          <w:szCs w:val="24"/>
          <w:lang w:val="lt-LT"/>
        </w:rPr>
        <w:t>solidinio</w:t>
      </w:r>
      <w:proofErr w:type="spellEnd"/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vėžio gydymo būdas 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>derinyje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su imuninės sistemos kontrol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>inio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taško blokatoriumi, kur hGDF-15 inhibitorius turi būti 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>įved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amas žmogui, kur hGDF-15 inhibitorius yra </w:t>
      </w:r>
      <w:proofErr w:type="spellStart"/>
      <w:r w:rsidR="00941C26"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antikūnas, galintis prisi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>rišti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prie hGDF-15 arba hGDF-15 surišan</w:t>
      </w:r>
      <w:r w:rsidR="00FC5BAF" w:rsidRPr="005901EB">
        <w:rPr>
          <w:rFonts w:ascii="Helvetica" w:hAnsi="Helvetica" w:cs="Arial"/>
          <w:sz w:val="20"/>
          <w:szCs w:val="24"/>
          <w:lang w:val="lt-LT"/>
        </w:rPr>
        <w:t>ti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C5BAF" w:rsidRPr="005901EB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dalis, ir kur imuninio kontrolinio taško blokatorius yra pa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>si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rinktas iš vienos ar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>ba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>daugiau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iš toliau pateiktų grupių, kurias sudaro:</w:t>
      </w:r>
    </w:p>
    <w:p w14:paraId="741A0DD9" w14:textId="5E0232DC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i) žmogaus PD-1 inhibitorius, 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inhibitorius yra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antikūnas, galintis pris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>irišti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prie žmogaus PD-1, arba jo dalis, 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>besirišanti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prie žmogaus PD-1; ir</w:t>
      </w:r>
    </w:p>
    <w:p w14:paraId="26923D83" w14:textId="0A044998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ii) žmogaus PD-L1 inhibitorius, 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inhibitorius yra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antikūnas, galintis 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prisirišti 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prie žmogaus PD-L1, arba jo dalis, 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 xml:space="preserve">besirišanti </w:t>
      </w:r>
      <w:r w:rsidRPr="005901EB">
        <w:rPr>
          <w:rFonts w:ascii="Helvetica" w:hAnsi="Helvetica" w:cs="Arial"/>
          <w:sz w:val="20"/>
          <w:szCs w:val="24"/>
          <w:lang w:val="lt-LT"/>
        </w:rPr>
        <w:t>prie žmogaus PD-L1.</w:t>
      </w:r>
    </w:p>
    <w:p w14:paraId="5B2CA03A" w14:textId="77777777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DD4485B" w14:textId="12E229DA" w:rsidR="00941C26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>2. hGDF-15 inhibitorius, skirtas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oti pagal 1 punktą, kur pacientas yra pacientas, kurio hGDF-15 lygis serume yra 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 xml:space="preserve">lygus 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mažiausiai 1,2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ng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/ml 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>prieš pradedant vartoti hGDF-15 inhibitorių</w:t>
      </w:r>
      <w:r w:rsidRPr="005901EB">
        <w:rPr>
          <w:rFonts w:ascii="Helvetica" w:hAnsi="Helvetica" w:cs="Arial"/>
          <w:sz w:val="20"/>
          <w:szCs w:val="24"/>
          <w:lang w:val="lt-LT"/>
        </w:rPr>
        <w:t>, kur pacientas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>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pageidautina, 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pacientas, kurio hGDF-15 lygis serume yra 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>lygus mažiausiai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1,5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ng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/ml 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>prieš pradedant vartoti hGDF-15 inhibitorių</w:t>
      </w:r>
      <w:r w:rsidRPr="005901EB">
        <w:rPr>
          <w:rFonts w:ascii="Helvetica" w:hAnsi="Helvetica" w:cs="Arial"/>
          <w:sz w:val="20"/>
          <w:szCs w:val="24"/>
          <w:lang w:val="lt-LT"/>
        </w:rPr>
        <w:t>, ir kur pacientas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>, labiau pageidautina,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yra pacientas, kurio hGDF-15 lygis serume 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>yra lygus mažiausiai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1,8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ng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/ml 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>prieš pradedant vartoti hGDF-15 inhibitorių</w:t>
      </w:r>
      <w:r w:rsidRPr="005901EB">
        <w:rPr>
          <w:rFonts w:ascii="Helvetica" w:hAnsi="Helvetica" w:cs="Arial"/>
          <w:sz w:val="20"/>
          <w:szCs w:val="24"/>
          <w:lang w:val="lt-LT"/>
        </w:rPr>
        <w:t>;</w:t>
      </w:r>
    </w:p>
    <w:p w14:paraId="63E8AF76" w14:textId="22D28077" w:rsidR="00941C26" w:rsidRPr="005901EB" w:rsidRDefault="00B14921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>ir (arba)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kur vėžys yra </w:t>
      </w:r>
      <w:r w:rsidRPr="005901EB">
        <w:rPr>
          <w:rFonts w:ascii="Helvetica" w:hAnsi="Helvetica" w:cs="Arial"/>
          <w:sz w:val="20"/>
          <w:szCs w:val="24"/>
          <w:lang w:val="lt-LT"/>
        </w:rPr>
        <w:t>pasirinkt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as iš grupės, susidedančios iš melanomos, gaubtinės ir tiesiosios žarnos vėžio, prostatos vėžio, galvos ir kaklo vėžio, </w:t>
      </w:r>
      <w:proofErr w:type="spellStart"/>
      <w:r w:rsidR="00941C26" w:rsidRPr="005901EB">
        <w:rPr>
          <w:rFonts w:ascii="Helvetica" w:hAnsi="Helvetica" w:cs="Arial"/>
          <w:sz w:val="20"/>
          <w:szCs w:val="24"/>
          <w:lang w:val="lt-LT"/>
        </w:rPr>
        <w:t>urotelio</w:t>
      </w:r>
      <w:proofErr w:type="spellEnd"/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vėžio, skrandžio vėžio, kasos vėžio, kepenų vėžio, sėklidžių vėžio, kiaušidžių vėžio, </w:t>
      </w:r>
      <w:r w:rsidRPr="005901EB">
        <w:rPr>
          <w:rFonts w:ascii="Helvetica" w:hAnsi="Helvetica" w:cs="Arial"/>
          <w:sz w:val="20"/>
          <w:szCs w:val="24"/>
          <w:lang w:val="lt-LT"/>
        </w:rPr>
        <w:t>gimdos gleivinės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vėžio, gimdos kaklelio vėžio, smegenų vėž</w:t>
      </w:r>
      <w:r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, krūties vėž</w:t>
      </w:r>
      <w:r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, skrandžio vėž</w:t>
      </w:r>
      <w:r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, inkstų ląstelių karcinom</w:t>
      </w:r>
      <w:r w:rsidRPr="005901EB">
        <w:rPr>
          <w:rFonts w:ascii="Helvetica" w:hAnsi="Helvetica" w:cs="Arial"/>
          <w:sz w:val="20"/>
          <w:szCs w:val="24"/>
          <w:lang w:val="lt-LT"/>
        </w:rPr>
        <w:t>os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41C26" w:rsidRPr="005901EB">
        <w:rPr>
          <w:rFonts w:ascii="Helvetica" w:hAnsi="Helvetica" w:cs="Arial"/>
          <w:sz w:val="20"/>
          <w:szCs w:val="24"/>
          <w:lang w:val="lt-LT"/>
        </w:rPr>
        <w:t>E</w:t>
      </w:r>
      <w:r w:rsidRPr="005901EB">
        <w:rPr>
          <w:rFonts w:ascii="Helvetica" w:hAnsi="Helvetica" w:cs="Arial"/>
          <w:sz w:val="20"/>
          <w:szCs w:val="24"/>
          <w:lang w:val="lt-LT"/>
        </w:rPr>
        <w:t>v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ingo</w:t>
      </w:r>
      <w:proofErr w:type="spellEnd"/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sarkom</w:t>
      </w:r>
      <w:r w:rsidRPr="005901EB">
        <w:rPr>
          <w:rFonts w:ascii="Helvetica" w:hAnsi="Helvetica" w:cs="Arial"/>
          <w:sz w:val="20"/>
          <w:szCs w:val="24"/>
          <w:lang w:val="lt-LT"/>
        </w:rPr>
        <w:t>os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41C26" w:rsidRPr="005901EB">
        <w:rPr>
          <w:rFonts w:ascii="Helvetica" w:hAnsi="Helvetica" w:cs="Arial"/>
          <w:sz w:val="20"/>
          <w:szCs w:val="24"/>
          <w:lang w:val="lt-LT"/>
        </w:rPr>
        <w:t>nesmulkialąstelini</w:t>
      </w:r>
      <w:r w:rsidRPr="005901EB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plaučių vėž</w:t>
      </w:r>
      <w:r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941C26" w:rsidRPr="005901EB">
        <w:rPr>
          <w:rFonts w:ascii="Helvetica" w:hAnsi="Helvetica" w:cs="Arial"/>
          <w:sz w:val="20"/>
          <w:szCs w:val="24"/>
          <w:lang w:val="lt-LT"/>
        </w:rPr>
        <w:t>smulkialąstelini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plaučių vėž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, kur vėžys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, pageidautina,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5901EB">
        <w:rPr>
          <w:rFonts w:ascii="Helvetica" w:hAnsi="Helvetica" w:cs="Arial"/>
          <w:sz w:val="20"/>
          <w:szCs w:val="24"/>
          <w:lang w:val="lt-LT"/>
        </w:rPr>
        <w:t>pasirinkt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as iš grupės, susidedančios iš melanomos, gaubtinės ir tiesiosios žarnos vėžio, prostatos vėžio, galvos ir kaklo vėž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941C26" w:rsidRPr="005901EB">
        <w:rPr>
          <w:rFonts w:ascii="Helvetica" w:hAnsi="Helvetica" w:cs="Arial"/>
          <w:sz w:val="20"/>
          <w:szCs w:val="24"/>
          <w:lang w:val="lt-LT"/>
        </w:rPr>
        <w:t>urotelio</w:t>
      </w:r>
      <w:proofErr w:type="spellEnd"/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vėž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, skrandžio vėž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, kasos vėž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, kepenų vėž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, sėklidžių vėž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, kiaušidžių vėž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gimdos gleivinės vėžio ir gimdos kaklelio vėžio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, ir kur 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 xml:space="preserve">vėžys, </w:t>
      </w:r>
      <w:r w:rsidR="007115F4" w:rsidRPr="005901EB">
        <w:rPr>
          <w:rFonts w:ascii="Helvetica" w:hAnsi="Helvetica" w:cs="Arial"/>
          <w:sz w:val="20"/>
          <w:szCs w:val="24"/>
          <w:lang w:val="lt-LT"/>
        </w:rPr>
        <w:t xml:space="preserve">labiau 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pageidautina, yra pasirinktas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iš grupės, susidedančios iš melanomos, gaubtinės ir tiesiosios žarnos vėžio, prostatos vėžio, galvos ir kaklo vėžio, </w:t>
      </w:r>
      <w:proofErr w:type="spellStart"/>
      <w:r w:rsidR="00941C26" w:rsidRPr="005901EB">
        <w:rPr>
          <w:rFonts w:ascii="Helvetica" w:hAnsi="Helvetica" w:cs="Arial"/>
          <w:sz w:val="20"/>
          <w:szCs w:val="24"/>
          <w:lang w:val="lt-LT"/>
        </w:rPr>
        <w:t>urotelio</w:t>
      </w:r>
      <w:proofErr w:type="spellEnd"/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vėž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ir skrandžio vėž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io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;</w:t>
      </w:r>
    </w:p>
    <w:p w14:paraId="70A02AFD" w14:textId="292730C4" w:rsidR="00941C26" w:rsidRPr="005901EB" w:rsidRDefault="00B14921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>ir (arba)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 xml:space="preserve"> kur vėžys yra </w:t>
      </w:r>
      <w:r w:rsidRPr="005901EB">
        <w:rPr>
          <w:rFonts w:ascii="Helvetica" w:hAnsi="Helvetica" w:cs="Arial"/>
          <w:sz w:val="20"/>
          <w:szCs w:val="24"/>
          <w:lang w:val="lt-LT"/>
        </w:rPr>
        <w:t>pasirinkt</w:t>
      </w:r>
      <w:r w:rsidR="00941C26" w:rsidRPr="005901EB">
        <w:rPr>
          <w:rFonts w:ascii="Helvetica" w:hAnsi="Helvetica" w:cs="Arial"/>
          <w:sz w:val="20"/>
          <w:szCs w:val="24"/>
          <w:lang w:val="lt-LT"/>
        </w:rPr>
        <w:t>as iš grupės, susidedančios iš melanomos, burnos plokščiųjų ląstelių karcinomos, gaubtinės ir tiesiosios žarnos vėžio ir prostatos vėžio.</w:t>
      </w:r>
    </w:p>
    <w:p w14:paraId="12D445A6" w14:textId="77777777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322266" w14:textId="77777777" w:rsidR="00B91626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>3. hGDF-15 inhibitorius, skirtas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oti pagal bet kurį iš ankstesnių punktų, </w:t>
      </w:r>
    </w:p>
    <w:p w14:paraId="11F7D73E" w14:textId="7189444D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kur inhibitorius yra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antikūnas, galintis prisi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rišti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prie hGDF-15 arba </w:t>
      </w:r>
      <w:r w:rsidR="007115F4" w:rsidRPr="005901EB">
        <w:rPr>
          <w:rFonts w:ascii="Helvetica" w:hAnsi="Helvetica" w:cs="Arial"/>
          <w:sz w:val="20"/>
          <w:szCs w:val="24"/>
          <w:lang w:val="lt-LT"/>
        </w:rPr>
        <w:t>hGDF-15 surišanti jo dalis</w:t>
      </w:r>
      <w:r w:rsidRPr="005901EB">
        <w:rPr>
          <w:rFonts w:ascii="Helvetica" w:hAnsi="Helvetica" w:cs="Arial"/>
          <w:sz w:val="20"/>
          <w:szCs w:val="24"/>
          <w:lang w:val="lt-LT"/>
        </w:rPr>
        <w:t>, kur</w:t>
      </w:r>
    </w:p>
    <w:p w14:paraId="6C093385" w14:textId="50256CC2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(i) 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prisi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rišimas yra 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prisirišimas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prie konformacinio arba </w:t>
      </w:r>
      <w:r w:rsidR="007115F4" w:rsidRPr="005901EB">
        <w:rPr>
          <w:rFonts w:ascii="Helvetica" w:hAnsi="Helvetica" w:cs="Arial"/>
          <w:sz w:val="20"/>
          <w:szCs w:val="24"/>
          <w:lang w:val="lt-LT"/>
        </w:rPr>
        <w:t>ne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vientiso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epitopo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hGDF-15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 xml:space="preserve"> molekulėje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, ir kur konformacinį arba </w:t>
      </w:r>
      <w:r w:rsidR="007115F4" w:rsidRPr="005901EB">
        <w:rPr>
          <w:rFonts w:ascii="Helvetica" w:hAnsi="Helvetica" w:cs="Arial"/>
          <w:sz w:val="20"/>
          <w:szCs w:val="24"/>
          <w:lang w:val="lt-LT"/>
        </w:rPr>
        <w:t>ne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vientis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ą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epitopą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apima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aminorūgščių sekos SEQ ID Nr. 25 ir SEQ ID Nr. 26, </w:t>
      </w:r>
      <w:r w:rsidR="00B14921" w:rsidRPr="005901EB">
        <w:rPr>
          <w:rFonts w:ascii="Helvetica" w:hAnsi="Helvetica" w:cs="Arial"/>
          <w:sz w:val="20"/>
          <w:szCs w:val="24"/>
          <w:lang w:val="lt-LT"/>
        </w:rPr>
        <w:t>ir (arba)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kur</w:t>
      </w:r>
    </w:p>
    <w:p w14:paraId="380A78E4" w14:textId="14D3909D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(ii) antikūnas arba jo hGDF-15 surišanti dalis apima sunkiosios grandinės kintamą domeną, kuris apima CDR1 sritį, apimančią 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 xml:space="preserve">aminorūgščių seką 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SEQ ID Nr. 3, CDR2 sritį, apimančią 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 xml:space="preserve">aminorūgščių seką </w:t>
      </w:r>
      <w:r w:rsidRPr="005901EB">
        <w:rPr>
          <w:rFonts w:ascii="Helvetica" w:hAnsi="Helvetica" w:cs="Arial"/>
          <w:sz w:val="20"/>
          <w:szCs w:val="24"/>
          <w:lang w:val="lt-LT"/>
        </w:rPr>
        <w:t>SEQ ID Nr. 4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ir CDR3 srit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į</w:t>
      </w:r>
      <w:r w:rsidRPr="005901EB">
        <w:rPr>
          <w:rFonts w:ascii="Helvetica" w:hAnsi="Helvetica" w:cs="Arial"/>
          <w:sz w:val="20"/>
          <w:szCs w:val="24"/>
          <w:lang w:val="lt-LT"/>
        </w:rPr>
        <w:t>, apiman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čią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aminorūgščių seką SEQ ID Nr. 5, ir kur antikūnas arba </w:t>
      </w:r>
      <w:r w:rsidR="007115F4" w:rsidRPr="005901EB">
        <w:rPr>
          <w:rFonts w:ascii="Helvetica" w:hAnsi="Helvetica" w:cs="Arial"/>
          <w:sz w:val="20"/>
          <w:szCs w:val="24"/>
          <w:lang w:val="lt-LT"/>
        </w:rPr>
        <w:t>hGDF-15 surišanti jo dalis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apima lengvosios grandinės kintamą domeną, 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 xml:space="preserve">kuris 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apima CDR1 sritį, apimančią 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 xml:space="preserve">aminorūgščių seką </w:t>
      </w:r>
      <w:r w:rsidRPr="005901EB">
        <w:rPr>
          <w:rFonts w:ascii="Helvetica" w:hAnsi="Helvetica" w:cs="Arial"/>
          <w:sz w:val="20"/>
          <w:szCs w:val="24"/>
          <w:lang w:val="lt-LT"/>
        </w:rPr>
        <w:t>SEQ ID Nr. 6, CDR2 srit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į</w:t>
      </w:r>
      <w:r w:rsidRPr="005901EB">
        <w:rPr>
          <w:rFonts w:ascii="Helvetica" w:hAnsi="Helvetica" w:cs="Arial"/>
          <w:sz w:val="20"/>
          <w:szCs w:val="24"/>
          <w:lang w:val="lt-LT"/>
        </w:rPr>
        <w:t>, apiman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čią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aminorūgščių seką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ser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>-ala-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ser</w:t>
      </w:r>
      <w:proofErr w:type="spellEnd"/>
      <w:r w:rsidR="00B91626" w:rsidRPr="005901EB">
        <w:rPr>
          <w:rFonts w:ascii="Helvetica" w:hAnsi="Helvetica" w:cs="Arial"/>
          <w:sz w:val="20"/>
          <w:szCs w:val="24"/>
          <w:lang w:val="lt-LT"/>
        </w:rPr>
        <w:t>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ir CDR3 srit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į</w:t>
      </w:r>
      <w:r w:rsidRPr="005901EB">
        <w:rPr>
          <w:rFonts w:ascii="Helvetica" w:hAnsi="Helvetica" w:cs="Arial"/>
          <w:sz w:val="20"/>
          <w:szCs w:val="24"/>
          <w:lang w:val="lt-LT"/>
        </w:rPr>
        <w:t>, apiman</w:t>
      </w:r>
      <w:r w:rsidR="00B91626" w:rsidRPr="005901EB">
        <w:rPr>
          <w:rFonts w:ascii="Helvetica" w:hAnsi="Helvetica" w:cs="Arial"/>
          <w:sz w:val="20"/>
          <w:szCs w:val="24"/>
          <w:lang w:val="lt-LT"/>
        </w:rPr>
        <w:t>čią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aminorūgščių seką SEQ ID Nr. 7.</w:t>
      </w:r>
    </w:p>
    <w:p w14:paraId="456A4D56" w14:textId="77777777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3A8852" w14:textId="40301F95" w:rsidR="00941C26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>4. hGDF-15 inhibitorius, skirtas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5901EB">
        <w:rPr>
          <w:rFonts w:ascii="Helvetica" w:hAnsi="Helvetica" w:cs="Arial"/>
          <w:sz w:val="20"/>
          <w:szCs w:val="24"/>
          <w:lang w:val="lt-LT"/>
        </w:rPr>
        <w:t>oti pagal bet kurį iš ankstesnių punktų.</w:t>
      </w:r>
    </w:p>
    <w:p w14:paraId="2B8C9EE3" w14:textId="3DF7075B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bū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das yra vėžio metastazių gydymo būdas </w:t>
      </w:r>
      <w:r w:rsidR="00B14921" w:rsidRPr="005901EB">
        <w:rPr>
          <w:rFonts w:ascii="Helvetica" w:hAnsi="Helvetica" w:cs="Arial"/>
          <w:sz w:val="20"/>
          <w:szCs w:val="24"/>
          <w:lang w:val="lt-LT"/>
        </w:rPr>
        <w:t>ir (arba)</w:t>
      </w:r>
    </w:p>
    <w:p w14:paraId="4CB82FEC" w14:textId="4F265452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lastRenderedPageBreak/>
        <w:t>kur hGDF-15 inhibitorius padidina CD8</w:t>
      </w:r>
      <w:r w:rsidRPr="005901EB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5901EB">
        <w:rPr>
          <w:rFonts w:ascii="Helvetica" w:hAnsi="Helvetica" w:cs="Arial"/>
          <w:sz w:val="20"/>
          <w:szCs w:val="24"/>
          <w:lang w:val="lt-LT"/>
        </w:rPr>
        <w:t>T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901EB">
        <w:rPr>
          <w:rFonts w:ascii="Helvetica" w:hAnsi="Helvetica" w:cs="Arial"/>
          <w:sz w:val="20"/>
          <w:szCs w:val="24"/>
          <w:lang w:val="lt-LT"/>
        </w:rPr>
        <w:t>ląstelių procent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inę dalį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sergant vėžiu</w:t>
      </w:r>
      <w:r w:rsidRPr="005901EB">
        <w:rPr>
          <w:rFonts w:ascii="Helvetica" w:hAnsi="Helvetica" w:cs="Arial"/>
          <w:sz w:val="20"/>
          <w:szCs w:val="24"/>
          <w:lang w:val="lt-LT"/>
        </w:rPr>
        <w:t>, padidindamas CD8</w:t>
      </w:r>
      <w:r w:rsidRPr="005901EB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5901EB">
        <w:rPr>
          <w:rFonts w:ascii="Helvetica" w:hAnsi="Helvetica" w:cs="Arial"/>
          <w:sz w:val="20"/>
          <w:szCs w:val="24"/>
          <w:lang w:val="lt-LT"/>
        </w:rPr>
        <w:t>T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ląstelių adheziją 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prie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endotelio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ląstel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ių,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tokiu būdu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padidindamas CD8</w:t>
      </w:r>
      <w:r w:rsidRPr="005901EB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5901EB">
        <w:rPr>
          <w:rFonts w:ascii="Helvetica" w:hAnsi="Helvetica" w:cs="Arial"/>
          <w:sz w:val="20"/>
          <w:szCs w:val="24"/>
          <w:lang w:val="lt-LT"/>
        </w:rPr>
        <w:t>T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ląstelių 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perėjimą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iš kraujo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takos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į vėž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io aplinką</w:t>
      </w:r>
      <w:r w:rsidRPr="005901EB">
        <w:rPr>
          <w:rFonts w:ascii="Helvetica" w:hAnsi="Helvetica" w:cs="Arial"/>
          <w:sz w:val="20"/>
          <w:szCs w:val="24"/>
          <w:lang w:val="lt-LT"/>
        </w:rPr>
        <w:t>.</w:t>
      </w:r>
    </w:p>
    <w:p w14:paraId="60943F84" w14:textId="77777777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E5849F9" w14:textId="6A344678" w:rsidR="00941C26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5. Kompozicija, apimanti hGDF-15 inhibitorių ir imuninio kontrolinio taško blokatorių, kur hGDF-15 inhibitorius yra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antikūnas, galintis prisi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rišti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prie hGDF-15 arba </w:t>
      </w:r>
      <w:r w:rsidR="00533B0C" w:rsidRPr="005901EB">
        <w:rPr>
          <w:rFonts w:ascii="Helvetica" w:hAnsi="Helvetica" w:cs="Arial"/>
          <w:sz w:val="20"/>
          <w:szCs w:val="24"/>
          <w:lang w:val="lt-LT"/>
        </w:rPr>
        <w:t>hGDF-15 surišanti jo dalis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, ir kur </w:t>
      </w:r>
      <w:r w:rsidR="00F50167" w:rsidRPr="005901EB">
        <w:rPr>
          <w:rFonts w:ascii="Helvetica" w:hAnsi="Helvetica" w:cs="Arial"/>
          <w:sz w:val="20"/>
          <w:szCs w:val="24"/>
          <w:lang w:val="lt-LT"/>
        </w:rPr>
        <w:t>imuninio kontrolinio taško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blokatorius yra pasirinktas. iš vienos ar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ba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daugiau iš šių grupių, kurias sudaro:</w:t>
      </w:r>
    </w:p>
    <w:p w14:paraId="336EAD6C" w14:textId="77777777" w:rsidR="00AD16C0" w:rsidRPr="005901EB" w:rsidRDefault="00AD16C0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i) žmogaus PD-1 inhibitorius, kur inhibitorius yra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antikūnas, galintis prisirišti prie žmogaus PD-1, arba jo dalis, besirišanti prie žmogaus PD-1; ir</w:t>
      </w:r>
    </w:p>
    <w:p w14:paraId="37FFD509" w14:textId="77777777" w:rsidR="00AD16C0" w:rsidRPr="005901EB" w:rsidRDefault="00AD16C0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ii) žmogaus PD-L1 inhibitorius, kur inhibitorius yra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antikūnas, galintis prisirišti prie žmogaus PD-L1, arba jo dalis, besirišanti prie žmogaus PD-L1.</w:t>
      </w:r>
    </w:p>
    <w:p w14:paraId="1AA28218" w14:textId="77777777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5F96077" w14:textId="32DC8AC1" w:rsidR="00941C26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>6. Kompozicija pagal 5 punktą, skirta panaudoti medicinoje.</w:t>
      </w:r>
    </w:p>
    <w:p w14:paraId="60C66E6B" w14:textId="77777777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5974DF4" w14:textId="3B34E8A2" w:rsidR="00AD16C0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7. Rinkinys, apimantis hGDF-15 inhibitorių ir </w:t>
      </w:r>
      <w:r w:rsidR="00C544D6" w:rsidRPr="005901EB">
        <w:rPr>
          <w:rFonts w:ascii="Helvetica" w:hAnsi="Helvetica" w:cs="Arial"/>
          <w:sz w:val="20"/>
          <w:szCs w:val="24"/>
          <w:lang w:val="lt-LT"/>
        </w:rPr>
        <w:t>mažiausiai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vieną imuninio kontrolinio taško blokatorių, kur hGDF-15 inhibitorius yra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antikūnas, 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 xml:space="preserve">galintis prisirišti prie hGDF-15 arba </w:t>
      </w:r>
      <w:r w:rsidR="00533B0C" w:rsidRPr="005901EB">
        <w:rPr>
          <w:rFonts w:ascii="Helvetica" w:hAnsi="Helvetica" w:cs="Arial"/>
          <w:sz w:val="20"/>
          <w:szCs w:val="24"/>
          <w:lang w:val="lt-LT"/>
        </w:rPr>
        <w:t>hGDF-15 surišanti jo dalis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, ir kur imuninio kontrolinio taško blokatorius yra pasirinktas iš vienos arba daugiau iš šių grupių, kurias sudaro:</w:t>
      </w:r>
    </w:p>
    <w:p w14:paraId="68964B80" w14:textId="77777777" w:rsidR="00AD16C0" w:rsidRPr="005901EB" w:rsidRDefault="00AD16C0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i) žmogaus PD-1 inhibitorius, kur inhibitorius yra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antikūnas, galintis prisirišti prie žmogaus PD-1, arba jo dalis, besirišanti prie žmogaus PD-1; ir</w:t>
      </w:r>
    </w:p>
    <w:p w14:paraId="68DB60BD" w14:textId="77777777" w:rsidR="00AD16C0" w:rsidRPr="005901EB" w:rsidRDefault="00AD16C0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ii) žmogaus PD-L1 inhibitorius, kur inhibitorius yra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antikūnas, galintis prisirišti prie žmogaus PD-L1, arba jo dalis, besirišanti prie žmogaus PD-L1.</w:t>
      </w:r>
    </w:p>
    <w:p w14:paraId="316EC7AF" w14:textId="431B1A70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D0DC464" w14:textId="3E59204D" w:rsidR="00941C26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8. Rinkinys pagal 7 punktą, kur hGDF-15 inhibitorius ir vienas arba 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daugiau,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arba visi imunin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io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kontrol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inio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taško blokatoriai yra atskirose 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talpose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arba vien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oje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talpoje</w:t>
      </w:r>
      <w:r w:rsidRPr="005901EB">
        <w:rPr>
          <w:rFonts w:ascii="Helvetica" w:hAnsi="Helvetica" w:cs="Arial"/>
          <w:sz w:val="20"/>
          <w:szCs w:val="24"/>
          <w:lang w:val="lt-LT"/>
        </w:rPr>
        <w:t>.</w:t>
      </w:r>
    </w:p>
    <w:p w14:paraId="52D8E281" w14:textId="77777777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68B5DC" w14:textId="77777777" w:rsidR="00AD16C0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9. Kompozicija, skirta panaudoti medicinoje pagal 6 punktą, arba rinkinys pagal 7 arba 8 punktą, </w:t>
      </w:r>
    </w:p>
    <w:p w14:paraId="17E507AE" w14:textId="2C318272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>skirtas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oti 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 xml:space="preserve">taikant </w:t>
      </w:r>
      <w:proofErr w:type="spellStart"/>
      <w:r w:rsidR="00AD16C0" w:rsidRPr="005901EB">
        <w:rPr>
          <w:rFonts w:ascii="Helvetica" w:hAnsi="Helvetica" w:cs="Arial"/>
          <w:sz w:val="20"/>
          <w:szCs w:val="24"/>
          <w:lang w:val="lt-LT"/>
        </w:rPr>
        <w:t>solidinio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vėžio gydymo būd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ą</w:t>
      </w:r>
      <w:r w:rsidRPr="005901EB">
        <w:rPr>
          <w:rFonts w:ascii="Helvetica" w:hAnsi="Helvetica" w:cs="Arial"/>
          <w:sz w:val="20"/>
          <w:szCs w:val="24"/>
          <w:lang w:val="lt-LT"/>
        </w:rPr>
        <w:t>, kur būdas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pageidautina,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yra vėžio imunoterapijos būdas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ir kur vėžys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, pageidautina, yra toks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kaip apibrėžta 2 punkte.</w:t>
      </w:r>
    </w:p>
    <w:p w14:paraId="11EF2ED2" w14:textId="77777777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351D341" w14:textId="3A05D99E" w:rsidR="00941C26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>10. hGDF-15 inhibitorius, skirtas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5901EB">
        <w:rPr>
          <w:rFonts w:ascii="Helvetica" w:hAnsi="Helvetica" w:cs="Arial"/>
          <w:sz w:val="20"/>
          <w:szCs w:val="24"/>
          <w:lang w:val="lt-LT"/>
        </w:rPr>
        <w:t>oti pagal bet kurį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iš 1-4 punktų, kur panaudojimas yra panaudojimas derinyje su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poliinozino:policitidilo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rūgštimi, kur derinys yra derinys su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poliinozino:policitidilo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rūgštimi.</w:t>
      </w:r>
    </w:p>
    <w:p w14:paraId="199C3FBA" w14:textId="77777777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56C54D4" w14:textId="77DAB0C6" w:rsidR="00941C26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>11. hGDF-15 inhibitorius, skirtas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oti pagal bet kurį 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iš 1-4 ir 10 punktų, kur panaudojimas yra panaudojimas derinyje su imuninę sistemą stimuliuojančiu 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 xml:space="preserve">antikūnu prieš </w:t>
      </w:r>
      <w:r w:rsidRPr="005901EB">
        <w:rPr>
          <w:rFonts w:ascii="Helvetica" w:hAnsi="Helvetica" w:cs="Arial"/>
          <w:sz w:val="20"/>
          <w:szCs w:val="24"/>
          <w:lang w:val="lt-LT"/>
        </w:rPr>
        <w:t>žmogaus CD40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, pageidautina,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imuninę sistemą stimuliuojančiu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monokloniniu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antikūnu prieš žmogaus CD40</w:t>
      </w:r>
      <w:r w:rsidRPr="005901EB">
        <w:rPr>
          <w:rFonts w:ascii="Helvetica" w:hAnsi="Helvetica" w:cs="Arial"/>
          <w:sz w:val="20"/>
          <w:szCs w:val="24"/>
          <w:lang w:val="lt-LT"/>
        </w:rPr>
        <w:t>.</w:t>
      </w:r>
    </w:p>
    <w:p w14:paraId="2C155AE2" w14:textId="77777777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362338" w14:textId="6AC41B17" w:rsidR="00941C26" w:rsidRPr="005901EB" w:rsidRDefault="00941C26" w:rsidP="005901EB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AD16C0" w:rsidRPr="005901EB">
        <w:rPr>
          <w:rFonts w:ascii="Helvetica" w:hAnsi="Helvetica" w:cs="Arial"/>
          <w:sz w:val="20"/>
          <w:szCs w:val="24"/>
          <w:lang w:val="lt-LT"/>
        </w:rPr>
        <w:t>Sudėtinis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produktas, 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apimantis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hGDF-15 inhibitori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ų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ir bet kur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į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iš šių:</w:t>
      </w:r>
    </w:p>
    <w:p w14:paraId="37F1DC88" w14:textId="1CD117AC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a)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poliinozino:policitidilo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rūgšt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į</w:t>
      </w:r>
      <w:r w:rsidRPr="005901EB">
        <w:rPr>
          <w:rFonts w:ascii="Helvetica" w:hAnsi="Helvetica" w:cs="Arial"/>
          <w:sz w:val="20"/>
          <w:szCs w:val="24"/>
          <w:lang w:val="lt-LT"/>
        </w:rPr>
        <w:t>;</w:t>
      </w:r>
    </w:p>
    <w:p w14:paraId="54A6284B" w14:textId="2B632FD6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>b) imuninę sistemą stimuliuojan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tį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antikūną prieš žmogaus CD40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pageidautina,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imuninę sistemą stimuliuojan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tį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antikūną prieš žmogaus CD40</w:t>
      </w:r>
      <w:r w:rsidRPr="005901EB">
        <w:rPr>
          <w:rFonts w:ascii="Helvetica" w:hAnsi="Helvetica" w:cs="Arial"/>
          <w:sz w:val="20"/>
          <w:szCs w:val="24"/>
          <w:lang w:val="lt-LT"/>
        </w:rPr>
        <w:t>; arba</w:t>
      </w:r>
    </w:p>
    <w:p w14:paraId="0564BA23" w14:textId="60AE5699" w:rsidR="00941C26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t xml:space="preserve">c)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poliinozino:policitidilo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rūgšt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į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ir imuninę sistemą 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 xml:space="preserve">stimuliuojantį antikūną prieš žmogaus CD40, pageidautina, imuninę sistemą stimuliuojantį </w:t>
      </w:r>
      <w:proofErr w:type="spellStart"/>
      <w:r w:rsidR="00144DA7" w:rsidRPr="005901EB">
        <w:rPr>
          <w:rFonts w:ascii="Helvetica" w:hAnsi="Helvetica" w:cs="Arial"/>
          <w:sz w:val="20"/>
          <w:szCs w:val="24"/>
          <w:lang w:val="lt-LT"/>
        </w:rPr>
        <w:t>monokloninį</w:t>
      </w:r>
      <w:proofErr w:type="spellEnd"/>
      <w:r w:rsidR="00144DA7" w:rsidRPr="005901EB">
        <w:rPr>
          <w:rFonts w:ascii="Helvetica" w:hAnsi="Helvetica" w:cs="Arial"/>
          <w:sz w:val="20"/>
          <w:szCs w:val="24"/>
          <w:lang w:val="lt-LT"/>
        </w:rPr>
        <w:t xml:space="preserve"> antikūną prieš žmogaus CD40</w:t>
      </w:r>
      <w:r w:rsidRPr="005901EB">
        <w:rPr>
          <w:rFonts w:ascii="Helvetica" w:hAnsi="Helvetica" w:cs="Arial"/>
          <w:sz w:val="20"/>
          <w:szCs w:val="24"/>
          <w:lang w:val="lt-LT"/>
        </w:rPr>
        <w:t>,</w:t>
      </w:r>
    </w:p>
    <w:p w14:paraId="6D751AA7" w14:textId="4CAF48D8" w:rsidR="00EB6F08" w:rsidRPr="005901EB" w:rsidRDefault="00941C26" w:rsidP="005901EB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901EB">
        <w:rPr>
          <w:rFonts w:ascii="Helvetica" w:hAnsi="Helvetica" w:cs="Arial"/>
          <w:sz w:val="20"/>
          <w:szCs w:val="24"/>
          <w:lang w:val="lt-LT"/>
        </w:rPr>
        <w:lastRenderedPageBreak/>
        <w:t>skirtas</w:t>
      </w:r>
      <w:r w:rsidR="00E05828" w:rsidRPr="005901EB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oti 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5901EB">
        <w:rPr>
          <w:rFonts w:ascii="Helvetica" w:hAnsi="Helvetica" w:cs="Arial"/>
          <w:sz w:val="20"/>
          <w:szCs w:val="24"/>
          <w:lang w:val="lt-LT"/>
        </w:rPr>
        <w:t>žmogaus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44DA7" w:rsidRPr="005901EB">
        <w:rPr>
          <w:rFonts w:ascii="Helvetica" w:hAnsi="Helvetica" w:cs="Arial"/>
          <w:sz w:val="20"/>
          <w:szCs w:val="24"/>
          <w:lang w:val="lt-LT"/>
        </w:rPr>
        <w:t>solidinio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vėžio gydymo būd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ą</w:t>
      </w:r>
      <w:r w:rsidRPr="005901EB">
        <w:rPr>
          <w:rFonts w:ascii="Helvetica" w:hAnsi="Helvetica" w:cs="Arial"/>
          <w:sz w:val="20"/>
          <w:szCs w:val="24"/>
          <w:lang w:val="lt-LT"/>
        </w:rPr>
        <w:t>, kur derinys pasirinktinai apima imuninio kontrolinio taško blokatorių</w:t>
      </w:r>
      <w:r w:rsidR="00533B0C" w:rsidRPr="005901EB">
        <w:rPr>
          <w:rFonts w:ascii="Helvetica" w:hAnsi="Helvetica" w:cs="Arial"/>
          <w:sz w:val="20"/>
          <w:szCs w:val="24"/>
          <w:lang w:val="lt-LT"/>
        </w:rPr>
        <w:t>,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ir kur inhibitorius yra </w:t>
      </w:r>
      <w:proofErr w:type="spellStart"/>
      <w:r w:rsidRPr="005901EB">
        <w:rPr>
          <w:rFonts w:ascii="Helvetica" w:hAnsi="Helvetica" w:cs="Arial"/>
          <w:sz w:val="20"/>
          <w:szCs w:val="24"/>
          <w:lang w:val="lt-LT"/>
        </w:rPr>
        <w:t>monokloninis</w:t>
      </w:r>
      <w:proofErr w:type="spellEnd"/>
      <w:r w:rsidRPr="005901EB">
        <w:rPr>
          <w:rFonts w:ascii="Helvetica" w:hAnsi="Helvetica" w:cs="Arial"/>
          <w:sz w:val="20"/>
          <w:szCs w:val="24"/>
          <w:lang w:val="lt-LT"/>
        </w:rPr>
        <w:t xml:space="preserve"> antikūnas, galintis prisi</w:t>
      </w:r>
      <w:r w:rsidR="00144DA7" w:rsidRPr="005901EB">
        <w:rPr>
          <w:rFonts w:ascii="Helvetica" w:hAnsi="Helvetica" w:cs="Arial"/>
          <w:sz w:val="20"/>
          <w:szCs w:val="24"/>
          <w:lang w:val="lt-LT"/>
        </w:rPr>
        <w:t>rišti</w:t>
      </w:r>
      <w:r w:rsidRPr="005901EB">
        <w:rPr>
          <w:rFonts w:ascii="Helvetica" w:hAnsi="Helvetica" w:cs="Arial"/>
          <w:sz w:val="20"/>
          <w:szCs w:val="24"/>
          <w:lang w:val="lt-LT"/>
        </w:rPr>
        <w:t xml:space="preserve"> prie hGDF-15 arba </w:t>
      </w:r>
      <w:r w:rsidR="00533B0C" w:rsidRPr="005901EB">
        <w:rPr>
          <w:rFonts w:ascii="Helvetica" w:hAnsi="Helvetica" w:cs="Arial"/>
          <w:sz w:val="20"/>
          <w:szCs w:val="24"/>
          <w:lang w:val="lt-LT"/>
        </w:rPr>
        <w:t>hGDF-15 surišanti jo dalis</w:t>
      </w:r>
      <w:r w:rsidRPr="005901EB">
        <w:rPr>
          <w:rFonts w:ascii="Helvetica" w:hAnsi="Helvetica" w:cs="Arial"/>
          <w:sz w:val="20"/>
          <w:szCs w:val="24"/>
          <w:lang w:val="lt-LT"/>
        </w:rPr>
        <w:t>.</w:t>
      </w:r>
    </w:p>
    <w:sectPr w:rsidR="00EB6F08" w:rsidRPr="005901EB" w:rsidSect="005901E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BB90" w14:textId="77777777" w:rsidR="00206770" w:rsidRDefault="00206770" w:rsidP="007B0A41">
      <w:pPr>
        <w:spacing w:after="0" w:line="240" w:lineRule="auto"/>
      </w:pPr>
      <w:r>
        <w:separator/>
      </w:r>
    </w:p>
  </w:endnote>
  <w:endnote w:type="continuationSeparator" w:id="0">
    <w:p w14:paraId="68B45A15" w14:textId="77777777" w:rsidR="00206770" w:rsidRDefault="0020677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0D47" w14:textId="77777777" w:rsidR="00206770" w:rsidRDefault="00206770" w:rsidP="007B0A41">
      <w:pPr>
        <w:spacing w:after="0" w:line="240" w:lineRule="auto"/>
      </w:pPr>
      <w:r>
        <w:separator/>
      </w:r>
    </w:p>
  </w:footnote>
  <w:footnote w:type="continuationSeparator" w:id="0">
    <w:p w14:paraId="690E11A0" w14:textId="77777777" w:rsidR="00206770" w:rsidRDefault="0020677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0F92"/>
    <w:rsid w:val="00065F0D"/>
    <w:rsid w:val="00070D8A"/>
    <w:rsid w:val="00092D0B"/>
    <w:rsid w:val="000D0403"/>
    <w:rsid w:val="000F1D6A"/>
    <w:rsid w:val="00120AC9"/>
    <w:rsid w:val="001308ED"/>
    <w:rsid w:val="00144DA7"/>
    <w:rsid w:val="001668DF"/>
    <w:rsid w:val="00192F10"/>
    <w:rsid w:val="001A3E8E"/>
    <w:rsid w:val="001C33D1"/>
    <w:rsid w:val="001F266E"/>
    <w:rsid w:val="00206770"/>
    <w:rsid w:val="00223910"/>
    <w:rsid w:val="00234E11"/>
    <w:rsid w:val="00260D4E"/>
    <w:rsid w:val="00262076"/>
    <w:rsid w:val="002837FC"/>
    <w:rsid w:val="002B66D9"/>
    <w:rsid w:val="002E0F37"/>
    <w:rsid w:val="0030617D"/>
    <w:rsid w:val="00316FB7"/>
    <w:rsid w:val="003700E9"/>
    <w:rsid w:val="00370A78"/>
    <w:rsid w:val="00372A7E"/>
    <w:rsid w:val="00395E62"/>
    <w:rsid w:val="003A0D71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33B0C"/>
    <w:rsid w:val="00560B7D"/>
    <w:rsid w:val="00564911"/>
    <w:rsid w:val="005901EB"/>
    <w:rsid w:val="0059478E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115F4"/>
    <w:rsid w:val="00773521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45E2"/>
    <w:rsid w:val="008C60D6"/>
    <w:rsid w:val="008C6C0B"/>
    <w:rsid w:val="008E0E9E"/>
    <w:rsid w:val="0090596D"/>
    <w:rsid w:val="00907FD8"/>
    <w:rsid w:val="00941C26"/>
    <w:rsid w:val="00947ACD"/>
    <w:rsid w:val="00963C86"/>
    <w:rsid w:val="00971B8A"/>
    <w:rsid w:val="009766FA"/>
    <w:rsid w:val="0098532A"/>
    <w:rsid w:val="00992879"/>
    <w:rsid w:val="009B2E35"/>
    <w:rsid w:val="009B6C12"/>
    <w:rsid w:val="009C308F"/>
    <w:rsid w:val="00A02F0C"/>
    <w:rsid w:val="00A22BBD"/>
    <w:rsid w:val="00A4282B"/>
    <w:rsid w:val="00A51B6C"/>
    <w:rsid w:val="00A534B9"/>
    <w:rsid w:val="00AA2E98"/>
    <w:rsid w:val="00AA3A1F"/>
    <w:rsid w:val="00AD16C0"/>
    <w:rsid w:val="00AD4691"/>
    <w:rsid w:val="00AE4C3F"/>
    <w:rsid w:val="00AE51EA"/>
    <w:rsid w:val="00B14921"/>
    <w:rsid w:val="00B226B6"/>
    <w:rsid w:val="00B6516C"/>
    <w:rsid w:val="00B70727"/>
    <w:rsid w:val="00B81287"/>
    <w:rsid w:val="00B83535"/>
    <w:rsid w:val="00B86C5A"/>
    <w:rsid w:val="00B91626"/>
    <w:rsid w:val="00BD2789"/>
    <w:rsid w:val="00BD5417"/>
    <w:rsid w:val="00C1001A"/>
    <w:rsid w:val="00C220FE"/>
    <w:rsid w:val="00C2766E"/>
    <w:rsid w:val="00C30968"/>
    <w:rsid w:val="00C544D6"/>
    <w:rsid w:val="00C72847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DE3C9F"/>
    <w:rsid w:val="00E05828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0167"/>
    <w:rsid w:val="00F5330D"/>
    <w:rsid w:val="00F577D6"/>
    <w:rsid w:val="00F66B57"/>
    <w:rsid w:val="00F87A00"/>
    <w:rsid w:val="00F9418F"/>
    <w:rsid w:val="00FA380A"/>
    <w:rsid w:val="00FB2032"/>
    <w:rsid w:val="00FB2D33"/>
    <w:rsid w:val="00FC5BAF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5874</Characters>
  <Application>Microsoft Office Word</Application>
  <DocSecurity>0</DocSecurity>
  <Lines>96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2022-12-10T14:44:00Z</dcterms:created>
  <dcterms:modified xsi:type="dcterms:W3CDTF">2022-12-21T09:15:00Z</dcterms:modified>
</cp:coreProperties>
</file>