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2F61E" w14:textId="0782CEEB" w:rsidR="00AB51C4" w:rsidRPr="00311B2C" w:rsidRDefault="00AB51C4" w:rsidP="00311B2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1.</w:t>
      </w:r>
      <w:r w:rsidR="00311B2C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="00C506FB" w:rsidRPr="00311B2C">
        <w:rPr>
          <w:rFonts w:ascii="Helvetica" w:eastAsia="Times New Roman" w:hAnsi="Helvetica" w:cs="Arial"/>
          <w:sz w:val="20"/>
          <w:szCs w:val="24"/>
          <w:lang w:eastAsia="lt-LT"/>
        </w:rPr>
        <w:t>šskir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tas antikūnas arba antigeną surišantis</w:t>
      </w:r>
      <w:r w:rsidR="00C506FB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jo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fragmentas, </w:t>
      </w:r>
      <w:r w:rsidR="00C506FB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kuris suriša 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žmogaus leptino receptorių (LEPR) ir aktyvuoja LEPR signal</w:t>
      </w:r>
      <w:r w:rsidR="003F7C7A" w:rsidRPr="00311B2C">
        <w:rPr>
          <w:rFonts w:ascii="Helvetica" w:eastAsia="Times New Roman" w:hAnsi="Helvetica" w:cs="Arial"/>
          <w:sz w:val="20"/>
          <w:szCs w:val="24"/>
          <w:lang w:eastAsia="lt-LT"/>
        </w:rPr>
        <w:t>o perdavim</w:t>
      </w:r>
      <w:r w:rsidR="00656CA8" w:rsidRPr="00311B2C">
        <w:rPr>
          <w:rFonts w:ascii="Helvetica" w:eastAsia="Times New Roman" w:hAnsi="Helvetica" w:cs="Arial"/>
          <w:sz w:val="20"/>
          <w:szCs w:val="24"/>
          <w:lang w:eastAsia="lt-LT"/>
        </w:rPr>
        <w:t>o kelią</w:t>
      </w:r>
      <w:r w:rsidR="003F7C7A" w:rsidRPr="00311B2C">
        <w:rPr>
          <w:rFonts w:ascii="Helvetica" w:eastAsia="Times New Roman" w:hAnsi="Helvetica" w:cs="Arial"/>
          <w:sz w:val="20"/>
          <w:szCs w:val="24"/>
          <w:lang w:eastAsia="lt-LT"/>
        </w:rPr>
        <w:t>, kai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EC</w:t>
      </w:r>
      <w:r w:rsidRPr="00311B2C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50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 vertė yra mažesnė nei 12,0 nM</w:t>
      </w:r>
      <w:r w:rsidR="001723DB" w:rsidRPr="00311B2C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ląstelių reporteri</w:t>
      </w:r>
      <w:r w:rsidR="00656CA8" w:rsidRPr="00311B2C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t</w:t>
      </w:r>
      <w:r w:rsidR="001723DB" w:rsidRPr="00311B2C">
        <w:rPr>
          <w:rFonts w:ascii="Helvetica" w:eastAsia="Times New Roman" w:hAnsi="Helvetica" w:cs="Arial"/>
          <w:sz w:val="20"/>
          <w:szCs w:val="24"/>
          <w:lang w:eastAsia="lt-LT"/>
        </w:rPr>
        <w:t>yrime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kuri</w:t>
      </w:r>
      <w:r w:rsidR="001723DB" w:rsidRPr="00311B2C">
        <w:rPr>
          <w:rFonts w:ascii="Helvetica" w:eastAsia="Times New Roman" w:hAnsi="Helvetica" w:cs="Arial"/>
          <w:sz w:val="20"/>
          <w:szCs w:val="24"/>
          <w:lang w:eastAsia="lt-LT"/>
        </w:rPr>
        <w:t>uo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nustato</w:t>
      </w:r>
      <w:r w:rsidR="001723DB" w:rsidRPr="00311B2C">
        <w:rPr>
          <w:rFonts w:ascii="Helvetica" w:eastAsia="Times New Roman" w:hAnsi="Helvetica" w:cs="Arial"/>
          <w:sz w:val="20"/>
          <w:szCs w:val="24"/>
          <w:lang w:eastAsia="lt-LT"/>
        </w:rPr>
        <w:t>mas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STAT3 transkripcijos aktyvavim</w:t>
      </w:r>
      <w:r w:rsidR="001723DB" w:rsidRPr="00311B2C">
        <w:rPr>
          <w:rFonts w:ascii="Helvetica" w:eastAsia="Times New Roman" w:hAnsi="Helvetica" w:cs="Arial"/>
          <w:sz w:val="20"/>
          <w:szCs w:val="24"/>
          <w:lang w:eastAsia="lt-LT"/>
        </w:rPr>
        <w:t>as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r w:rsidR="003F7C7A" w:rsidRPr="00311B2C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antikūnas arba antigeną surišantis </w:t>
      </w:r>
      <w:r w:rsidR="003F7C7A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jo 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fragmentas apima:</w:t>
      </w:r>
    </w:p>
    <w:p w14:paraId="07A8A4C2" w14:textId="17DBF1CB" w:rsidR="00AB51C4" w:rsidRPr="00311B2C" w:rsidRDefault="001723DB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AB51C4" w:rsidRPr="00311B2C">
        <w:rPr>
          <w:rFonts w:ascii="Helvetica" w:eastAsia="Times New Roman" w:hAnsi="Helvetica" w:cs="Arial"/>
          <w:sz w:val="20"/>
          <w:szCs w:val="24"/>
          <w:lang w:eastAsia="lt-LT"/>
        </w:rPr>
        <w:t>i) sunkiosios grandinės kintam</w:t>
      </w:r>
      <w:r w:rsidR="003F7C7A" w:rsidRPr="00311B2C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AB51C4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srit</w:t>
      </w:r>
      <w:r w:rsidR="003F7C7A" w:rsidRPr="00311B2C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="00AB51C4" w:rsidRPr="00311B2C">
        <w:rPr>
          <w:rFonts w:ascii="Helvetica" w:eastAsia="Times New Roman" w:hAnsi="Helvetica" w:cs="Arial"/>
          <w:sz w:val="20"/>
          <w:szCs w:val="24"/>
          <w:lang w:eastAsia="lt-LT"/>
        </w:rPr>
        <w:t>, kuri</w:t>
      </w:r>
      <w:r w:rsidR="003F7C7A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apima</w:t>
      </w:r>
      <w:r w:rsidR="00AB51C4" w:rsidRPr="00311B2C">
        <w:rPr>
          <w:rFonts w:ascii="Helvetica" w:eastAsia="Times New Roman" w:hAnsi="Helvetica" w:cs="Arial"/>
          <w:sz w:val="20"/>
          <w:szCs w:val="24"/>
          <w:lang w:eastAsia="lt-LT"/>
        </w:rPr>
        <w:t>:</w:t>
      </w:r>
    </w:p>
    <w:p w14:paraId="6BC5615E" w14:textId="3A68B7F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HCDR1</w:t>
      </w:r>
      <w:r w:rsidR="003F7C7A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tokią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kaip nurodyt</w:t>
      </w:r>
      <w:r w:rsidR="001723DB" w:rsidRPr="00311B2C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4,</w:t>
      </w:r>
    </w:p>
    <w:p w14:paraId="0E354A83" w14:textId="17C26651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HCDR2, kaip nurodyt</w:t>
      </w:r>
      <w:r w:rsidR="001723DB" w:rsidRPr="00311B2C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6, ir</w:t>
      </w:r>
    </w:p>
    <w:p w14:paraId="2D7844B4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HCDR3, kaip nurodyta SEQ ID Nr. 8; ir</w:t>
      </w:r>
    </w:p>
    <w:p w14:paraId="79F0814F" w14:textId="3263D986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lengvosios grandinės kintam</w:t>
      </w:r>
      <w:r w:rsidR="009125CA" w:rsidRPr="00311B2C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srit</w:t>
      </w:r>
      <w:r w:rsidR="009125CA" w:rsidRPr="00311B2C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kuri</w:t>
      </w:r>
      <w:r w:rsidR="009125CA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apima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:</w:t>
      </w:r>
    </w:p>
    <w:p w14:paraId="1A9D9E53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LCDR1, kaip nurodyta SEQ ID Nr. 12,</w:t>
      </w:r>
    </w:p>
    <w:p w14:paraId="2BCF9BEA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LCDR2, kaip nurodyta SEQ ID Nr. 14, ir</w:t>
      </w:r>
    </w:p>
    <w:p w14:paraId="569D179B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LCDR3, kaip nurodyta SEQ ID Nr. 16;</w:t>
      </w:r>
    </w:p>
    <w:p w14:paraId="639F669B" w14:textId="03D8F296" w:rsidR="00AB51C4" w:rsidRPr="00311B2C" w:rsidRDefault="001723DB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AB51C4" w:rsidRPr="00311B2C">
        <w:rPr>
          <w:rFonts w:ascii="Helvetica" w:eastAsia="Times New Roman" w:hAnsi="Helvetica" w:cs="Arial"/>
          <w:sz w:val="20"/>
          <w:szCs w:val="24"/>
          <w:lang w:eastAsia="lt-LT"/>
        </w:rPr>
        <w:t>ii) sunkiosios grandinės kintam</w:t>
      </w:r>
      <w:r w:rsidR="009125CA" w:rsidRPr="00311B2C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AB51C4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srit</w:t>
      </w:r>
      <w:r w:rsidR="009125CA" w:rsidRPr="00311B2C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="00AB51C4" w:rsidRPr="00311B2C">
        <w:rPr>
          <w:rFonts w:ascii="Helvetica" w:eastAsia="Times New Roman" w:hAnsi="Helvetica" w:cs="Arial"/>
          <w:sz w:val="20"/>
          <w:szCs w:val="24"/>
          <w:lang w:eastAsia="lt-LT"/>
        </w:rPr>
        <w:t>, kuri</w:t>
      </w:r>
      <w:r w:rsidR="009125CA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apima</w:t>
      </w:r>
      <w:r w:rsidR="00AB51C4" w:rsidRPr="00311B2C">
        <w:rPr>
          <w:rFonts w:ascii="Helvetica" w:eastAsia="Times New Roman" w:hAnsi="Helvetica" w:cs="Arial"/>
          <w:sz w:val="20"/>
          <w:szCs w:val="24"/>
          <w:lang w:eastAsia="lt-LT"/>
        </w:rPr>
        <w:t>:</w:t>
      </w:r>
    </w:p>
    <w:p w14:paraId="75302537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HCDR1, kaip nurodyta SEQ ID Nr. 20,</w:t>
      </w:r>
    </w:p>
    <w:p w14:paraId="5310B82C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HCDR2, kaip nurodyta SEQ ID Nr. 22, ir</w:t>
      </w:r>
    </w:p>
    <w:p w14:paraId="4376604D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HCDR3, kaip nurodyta SEQ ID Nr. 24; ir</w:t>
      </w:r>
    </w:p>
    <w:p w14:paraId="2F594E87" w14:textId="44E7A608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lengvosios grandinės </w:t>
      </w:r>
      <w:bookmarkStart w:id="0" w:name="_Hlk95680984"/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kintam</w:t>
      </w:r>
      <w:r w:rsidR="009125CA" w:rsidRPr="00311B2C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srit</w:t>
      </w:r>
      <w:r w:rsidR="009125CA" w:rsidRPr="00311B2C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kuri</w:t>
      </w:r>
      <w:r w:rsidR="009125CA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apima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:</w:t>
      </w:r>
    </w:p>
    <w:bookmarkEnd w:id="0"/>
    <w:p w14:paraId="102661BE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LCDR1, kaip nurodyta SEQ ID Nr. 12,</w:t>
      </w:r>
    </w:p>
    <w:p w14:paraId="2B80818D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LCDR2, kaip nurodyta SEQ ID Nr. 14, ir</w:t>
      </w:r>
    </w:p>
    <w:p w14:paraId="7BF6DBA8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LCDR3, kaip nurodyta SEQ ID Nr. 16;</w:t>
      </w:r>
    </w:p>
    <w:p w14:paraId="0DF75A4C" w14:textId="77777777" w:rsidR="009125CA" w:rsidRPr="00311B2C" w:rsidRDefault="001723DB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AB51C4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iii) sunkiosios grandinės </w:t>
      </w:r>
      <w:r w:rsidR="009125CA" w:rsidRPr="00311B2C">
        <w:rPr>
          <w:rFonts w:ascii="Helvetica" w:eastAsia="Times New Roman" w:hAnsi="Helvetica" w:cs="Arial"/>
          <w:sz w:val="20"/>
          <w:szCs w:val="24"/>
          <w:lang w:eastAsia="lt-LT"/>
        </w:rPr>
        <w:t>kintamą sritį, kuri apima:</w:t>
      </w:r>
    </w:p>
    <w:p w14:paraId="194BDC57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HCDR1, kaip nurodyta SEQ ID Nr. 28,</w:t>
      </w:r>
    </w:p>
    <w:p w14:paraId="0E50BD64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HCDR2, kaip nurodyta SEQ ID Nr. 30, ir</w:t>
      </w:r>
    </w:p>
    <w:p w14:paraId="4A7E5941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HCDR3, kaip nurodyta SEQ ID Nr. 32; ir</w:t>
      </w:r>
    </w:p>
    <w:p w14:paraId="6C32E7BB" w14:textId="5705767D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lengvosios grandinės </w:t>
      </w:r>
      <w:r w:rsidR="009125CA" w:rsidRPr="00311B2C">
        <w:rPr>
          <w:rFonts w:ascii="Helvetica" w:eastAsia="Times New Roman" w:hAnsi="Helvetica" w:cs="Arial"/>
          <w:sz w:val="20"/>
          <w:szCs w:val="24"/>
          <w:lang w:eastAsia="lt-LT"/>
        </w:rPr>
        <w:t>kintamą sritį, kuri apima:</w:t>
      </w:r>
    </w:p>
    <w:p w14:paraId="77F0D7F5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LCDR1, kaip nurodyta SEQ ID Nr. 12,</w:t>
      </w:r>
    </w:p>
    <w:p w14:paraId="6D99C8EA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LCDR2, kaip nurodyta SEQ ID Nr. 14, ir</w:t>
      </w:r>
    </w:p>
    <w:p w14:paraId="3FBD9D0A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LCDR3, kaip nurodyta SEQ ID Nr. 16;</w:t>
      </w:r>
    </w:p>
    <w:p w14:paraId="683E4EFD" w14:textId="2AB64362" w:rsidR="00AB51C4" w:rsidRPr="00311B2C" w:rsidRDefault="001723DB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AB51C4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iv) sunkiosios grandinės </w:t>
      </w:r>
      <w:r w:rsidR="009125CA" w:rsidRPr="00311B2C">
        <w:rPr>
          <w:rFonts w:ascii="Helvetica" w:eastAsia="Times New Roman" w:hAnsi="Helvetica" w:cs="Arial"/>
          <w:sz w:val="20"/>
          <w:szCs w:val="24"/>
          <w:lang w:eastAsia="lt-LT"/>
        </w:rPr>
        <w:t>kintamą sritį, kuri apima:</w:t>
      </w:r>
    </w:p>
    <w:p w14:paraId="39692F41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HCDR1, kaip nurodyta SEQ ID Nr. 36,</w:t>
      </w:r>
    </w:p>
    <w:p w14:paraId="1346A74F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HCDR2, kaip nurodyta SEQ ID Nr. 38, ir</w:t>
      </w:r>
    </w:p>
    <w:p w14:paraId="188D3B3F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HCDR3, kaip nurodyta SEQ ID Nr. 40; ir</w:t>
      </w:r>
    </w:p>
    <w:p w14:paraId="1C1DCDBB" w14:textId="77777777" w:rsidR="009125CA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lengvosios grandinės </w:t>
      </w:r>
      <w:r w:rsidR="009125CA" w:rsidRPr="00311B2C">
        <w:rPr>
          <w:rFonts w:ascii="Helvetica" w:eastAsia="Times New Roman" w:hAnsi="Helvetica" w:cs="Arial"/>
          <w:sz w:val="20"/>
          <w:szCs w:val="24"/>
          <w:lang w:eastAsia="lt-LT"/>
        </w:rPr>
        <w:t>kintamą sritį, kuri apima:</w:t>
      </w:r>
    </w:p>
    <w:p w14:paraId="4ED00759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LCDR1, kaip nurodyta SEQ ID Nr. 12,</w:t>
      </w:r>
    </w:p>
    <w:p w14:paraId="1DB6CE0E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LCDR2, kaip nurodyta SEQ ID Nr. 14, ir</w:t>
      </w:r>
    </w:p>
    <w:p w14:paraId="090BB812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LCDR3, kaip nurodyta SEQ ID Nr. 16;</w:t>
      </w:r>
    </w:p>
    <w:p w14:paraId="4FA4C39A" w14:textId="77777777" w:rsidR="009125CA" w:rsidRPr="00311B2C" w:rsidRDefault="001723DB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AB51C4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v) sunkiosios grandinės </w:t>
      </w:r>
      <w:r w:rsidR="009125CA" w:rsidRPr="00311B2C">
        <w:rPr>
          <w:rFonts w:ascii="Helvetica" w:eastAsia="Times New Roman" w:hAnsi="Helvetica" w:cs="Arial"/>
          <w:sz w:val="20"/>
          <w:szCs w:val="24"/>
          <w:lang w:eastAsia="lt-LT"/>
        </w:rPr>
        <w:t>kintamą sritį, kuri apima:</w:t>
      </w:r>
    </w:p>
    <w:p w14:paraId="415C368F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HCDR1, kaip nurodyta SEQ ID Nr. 44,</w:t>
      </w:r>
    </w:p>
    <w:p w14:paraId="09A5D29C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HCDR2, kaip nurodyta SEQ ID Nr. 46, ir</w:t>
      </w:r>
    </w:p>
    <w:p w14:paraId="398D692A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HCDR3, kaip nurodyta SEQ ID Nr. 48; ir</w:t>
      </w:r>
    </w:p>
    <w:p w14:paraId="34C75874" w14:textId="77777777" w:rsidR="009125CA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lengvosios grandinės </w:t>
      </w:r>
      <w:r w:rsidR="009125CA" w:rsidRPr="00311B2C">
        <w:rPr>
          <w:rFonts w:ascii="Helvetica" w:eastAsia="Times New Roman" w:hAnsi="Helvetica" w:cs="Arial"/>
          <w:sz w:val="20"/>
          <w:szCs w:val="24"/>
          <w:lang w:eastAsia="lt-LT"/>
        </w:rPr>
        <w:t>kintamą sritį, kuri apima:</w:t>
      </w:r>
    </w:p>
    <w:p w14:paraId="331E54A3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LCDR1, kaip nurodyta SEQ ID Nr. 12,</w:t>
      </w:r>
    </w:p>
    <w:p w14:paraId="2DA1D027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LCDR2, kaip nurodyta SEQ ID Nr. 14, ir</w:t>
      </w:r>
    </w:p>
    <w:p w14:paraId="33BB2C77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LCDR3, kaip nurodyta SEQ ID Nr. 16;</w:t>
      </w:r>
    </w:p>
    <w:p w14:paraId="26B7FD86" w14:textId="77777777" w:rsidR="009125CA" w:rsidRPr="00311B2C" w:rsidRDefault="001723DB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lastRenderedPageBreak/>
        <w:t>(</w:t>
      </w:r>
      <w:r w:rsidR="00AB51C4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vi) sunkiosios grandinės </w:t>
      </w:r>
      <w:r w:rsidR="009125CA" w:rsidRPr="00311B2C">
        <w:rPr>
          <w:rFonts w:ascii="Helvetica" w:eastAsia="Times New Roman" w:hAnsi="Helvetica" w:cs="Arial"/>
          <w:sz w:val="20"/>
          <w:szCs w:val="24"/>
          <w:lang w:eastAsia="lt-LT"/>
        </w:rPr>
        <w:t>kintamą sritį, kuri apima:</w:t>
      </w:r>
    </w:p>
    <w:p w14:paraId="2500EEE1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HCDR1, kaip nurodyta SEQ ID Nr. 52,</w:t>
      </w:r>
    </w:p>
    <w:p w14:paraId="2FD90358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HCDR2, kaip nurodyta SEQ ID Nr. 54, ir</w:t>
      </w:r>
    </w:p>
    <w:p w14:paraId="336221BF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HCDR3, kaip nurodyta SEQ ID Nr. 56; ir</w:t>
      </w:r>
    </w:p>
    <w:p w14:paraId="25850DD7" w14:textId="77777777" w:rsidR="009125CA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lengvosios grandinės </w:t>
      </w:r>
      <w:r w:rsidR="009125CA" w:rsidRPr="00311B2C">
        <w:rPr>
          <w:rFonts w:ascii="Helvetica" w:eastAsia="Times New Roman" w:hAnsi="Helvetica" w:cs="Arial"/>
          <w:sz w:val="20"/>
          <w:szCs w:val="24"/>
          <w:lang w:eastAsia="lt-LT"/>
        </w:rPr>
        <w:t>kintamą sritį, kuri apima:</w:t>
      </w:r>
    </w:p>
    <w:p w14:paraId="07FA4E0A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LCDR1, kaip nurodyta SEQ ID Nr. 12,</w:t>
      </w:r>
    </w:p>
    <w:p w14:paraId="28908224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LCDR2, kaip nurodyta SEQ ID Nr. 14, ir</w:t>
      </w:r>
    </w:p>
    <w:p w14:paraId="4ADD74DF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LCDR3, kaip nurodyta SEQ ID Nr. 16;</w:t>
      </w:r>
    </w:p>
    <w:p w14:paraId="5F970209" w14:textId="77777777" w:rsidR="009125CA" w:rsidRPr="00311B2C" w:rsidRDefault="001723DB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AB51C4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vii) sunkiosios grandinės </w:t>
      </w:r>
      <w:r w:rsidR="009125CA" w:rsidRPr="00311B2C">
        <w:rPr>
          <w:rFonts w:ascii="Helvetica" w:eastAsia="Times New Roman" w:hAnsi="Helvetica" w:cs="Arial"/>
          <w:sz w:val="20"/>
          <w:szCs w:val="24"/>
          <w:lang w:eastAsia="lt-LT"/>
        </w:rPr>
        <w:t>kintamą sritį, kuri apima:</w:t>
      </w:r>
    </w:p>
    <w:p w14:paraId="2B78A64B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HCDR1, kaip nurodyta SEQ ID Nr. 60,</w:t>
      </w:r>
    </w:p>
    <w:p w14:paraId="4E90453D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HCDR2, kaip nurodyta SEQ ID Nr. 62, ir</w:t>
      </w:r>
    </w:p>
    <w:p w14:paraId="0FBD25A1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HCDR3, kaip nurodyta SEQ ID Nr. 64; ir</w:t>
      </w:r>
    </w:p>
    <w:p w14:paraId="27016EBB" w14:textId="77777777" w:rsidR="009125CA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lengvosios grandinės </w:t>
      </w:r>
      <w:r w:rsidR="009125CA" w:rsidRPr="00311B2C">
        <w:rPr>
          <w:rFonts w:ascii="Helvetica" w:eastAsia="Times New Roman" w:hAnsi="Helvetica" w:cs="Arial"/>
          <w:sz w:val="20"/>
          <w:szCs w:val="24"/>
          <w:lang w:eastAsia="lt-LT"/>
        </w:rPr>
        <w:t>kintamą sritį, kuri apima:</w:t>
      </w:r>
    </w:p>
    <w:p w14:paraId="0D693EDC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LCDR1, kaip nurodyta SEQ ID Nr. 12,</w:t>
      </w:r>
    </w:p>
    <w:p w14:paraId="199D23D7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LCDR2, kaip nurodyta SEQ ID Nr. 14, ir</w:t>
      </w:r>
    </w:p>
    <w:p w14:paraId="3C749F23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LCDR3, kaip nurodyta SEQ ID Nr. 16;</w:t>
      </w:r>
    </w:p>
    <w:p w14:paraId="55FFE0DF" w14:textId="77777777" w:rsidR="009125CA" w:rsidRPr="00311B2C" w:rsidRDefault="001723DB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AB51C4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viii) sunkiosios grandinės </w:t>
      </w:r>
      <w:r w:rsidR="009125CA" w:rsidRPr="00311B2C">
        <w:rPr>
          <w:rFonts w:ascii="Helvetica" w:eastAsia="Times New Roman" w:hAnsi="Helvetica" w:cs="Arial"/>
          <w:sz w:val="20"/>
          <w:szCs w:val="24"/>
          <w:lang w:eastAsia="lt-LT"/>
        </w:rPr>
        <w:t>kintamą sritį, kuri apima:</w:t>
      </w:r>
    </w:p>
    <w:p w14:paraId="4EF42DE4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HCDR1, kaip nurodyta SEQ ID Nr. 68,</w:t>
      </w:r>
    </w:p>
    <w:p w14:paraId="08916730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HCDR2, kaip nurodyta SEQ ID Nr. 70, ir</w:t>
      </w:r>
    </w:p>
    <w:p w14:paraId="4D304A5E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HCDR3, kaip nurodyta SEQ ID Nr. 72; ir</w:t>
      </w:r>
    </w:p>
    <w:p w14:paraId="674635C8" w14:textId="77777777" w:rsidR="009125CA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lengvosios grandinės </w:t>
      </w:r>
      <w:r w:rsidR="009125CA" w:rsidRPr="00311B2C">
        <w:rPr>
          <w:rFonts w:ascii="Helvetica" w:eastAsia="Times New Roman" w:hAnsi="Helvetica" w:cs="Arial"/>
          <w:sz w:val="20"/>
          <w:szCs w:val="24"/>
          <w:lang w:eastAsia="lt-LT"/>
        </w:rPr>
        <w:t>kintamą sritį, kuri apima:</w:t>
      </w:r>
    </w:p>
    <w:p w14:paraId="6CFE71B0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LCDR1, kaip nurodyta SEQ ID Nr. 12,</w:t>
      </w:r>
    </w:p>
    <w:p w14:paraId="785C6C2A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LCDR2, kaip nurodyta SEQ ID Nr. 14, ir</w:t>
      </w:r>
    </w:p>
    <w:p w14:paraId="0CAE7196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LCDR3, kaip nurodyta SEQ ID Nr. 16;</w:t>
      </w:r>
    </w:p>
    <w:p w14:paraId="3B063DF7" w14:textId="77777777" w:rsidR="009125CA" w:rsidRPr="00311B2C" w:rsidRDefault="001723DB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AB51C4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ix) sunkiosios grandinės </w:t>
      </w:r>
      <w:r w:rsidR="009125CA" w:rsidRPr="00311B2C">
        <w:rPr>
          <w:rFonts w:ascii="Helvetica" w:eastAsia="Times New Roman" w:hAnsi="Helvetica" w:cs="Arial"/>
          <w:sz w:val="20"/>
          <w:szCs w:val="24"/>
          <w:lang w:eastAsia="lt-LT"/>
        </w:rPr>
        <w:t>kintamą sritį, kuri apima:</w:t>
      </w:r>
    </w:p>
    <w:p w14:paraId="3B9B1E52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HCDR1, kaip nurodyta SEQ ID Nr. 76,</w:t>
      </w:r>
    </w:p>
    <w:p w14:paraId="48E6FF96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HCDR2, kaip nurodyta SEQ ID Nr. 78, ir</w:t>
      </w:r>
    </w:p>
    <w:p w14:paraId="60E8087D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HCDR3, kaip nurodyta SEQ ID Nr. 80; ir</w:t>
      </w:r>
    </w:p>
    <w:p w14:paraId="070E55D2" w14:textId="77777777" w:rsidR="009125CA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lengvosios grandinės </w:t>
      </w:r>
      <w:r w:rsidR="009125CA" w:rsidRPr="00311B2C">
        <w:rPr>
          <w:rFonts w:ascii="Helvetica" w:eastAsia="Times New Roman" w:hAnsi="Helvetica" w:cs="Arial"/>
          <w:sz w:val="20"/>
          <w:szCs w:val="24"/>
          <w:lang w:eastAsia="lt-LT"/>
        </w:rPr>
        <w:t>kintamą sritį, kuri apima:</w:t>
      </w:r>
    </w:p>
    <w:p w14:paraId="03F73894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LCDR1, kaip nurodyta SEQ ID Nr. 12,</w:t>
      </w:r>
    </w:p>
    <w:p w14:paraId="3E4236B2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LCDR2, kaip nurodyta SEQ ID Nr. 14, ir</w:t>
      </w:r>
    </w:p>
    <w:p w14:paraId="0D391599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LCDR3, kaip nurodyta SEQ ID Nr. 16;</w:t>
      </w:r>
    </w:p>
    <w:p w14:paraId="61FE3445" w14:textId="564F111D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(x) sunkiosios grandinės </w:t>
      </w:r>
      <w:r w:rsidR="009125CA" w:rsidRPr="00311B2C">
        <w:rPr>
          <w:rFonts w:ascii="Helvetica" w:eastAsia="Times New Roman" w:hAnsi="Helvetica" w:cs="Arial"/>
          <w:sz w:val="20"/>
          <w:szCs w:val="24"/>
          <w:lang w:eastAsia="lt-LT"/>
        </w:rPr>
        <w:t>kintamą sritį, kuri apima:</w:t>
      </w:r>
    </w:p>
    <w:p w14:paraId="702822EA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HCDR1, kaip nurodyta SEQ ID Nr. 84,</w:t>
      </w:r>
    </w:p>
    <w:p w14:paraId="4ED061C5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HCDR2, kaip nurodyta SEQ ID Nr. 86, ir</w:t>
      </w:r>
    </w:p>
    <w:p w14:paraId="2B4398A9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HCDR3, kaip nurodyta SEQ ID Nr. 88; ir</w:t>
      </w:r>
    </w:p>
    <w:p w14:paraId="5B4459EB" w14:textId="6E59E24D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lengvosios grandinės </w:t>
      </w:r>
      <w:r w:rsidR="009125CA" w:rsidRPr="00311B2C">
        <w:rPr>
          <w:rFonts w:ascii="Helvetica" w:eastAsia="Times New Roman" w:hAnsi="Helvetica" w:cs="Arial"/>
          <w:sz w:val="20"/>
          <w:szCs w:val="24"/>
          <w:lang w:eastAsia="lt-LT"/>
        </w:rPr>
        <w:t>kintamą sritį, kuri apima:</w:t>
      </w:r>
    </w:p>
    <w:p w14:paraId="683A73FF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LCDR1, kaip nurodyta SEQ ID Nr. 92,</w:t>
      </w:r>
    </w:p>
    <w:p w14:paraId="2580DF7F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LCDR2, kaip nurodyta SEQ ID Nr. 94, ir</w:t>
      </w:r>
    </w:p>
    <w:p w14:paraId="5C0AC727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LCDR3, kaip nurodyta SEQ ID Nr. 96;</w:t>
      </w:r>
    </w:p>
    <w:p w14:paraId="3678BD93" w14:textId="77777777" w:rsidR="009125CA" w:rsidRPr="00311B2C" w:rsidRDefault="001723DB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AB51C4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xi) sunkiosios grandinės </w:t>
      </w:r>
      <w:r w:rsidR="009125CA" w:rsidRPr="00311B2C">
        <w:rPr>
          <w:rFonts w:ascii="Helvetica" w:eastAsia="Times New Roman" w:hAnsi="Helvetica" w:cs="Arial"/>
          <w:sz w:val="20"/>
          <w:szCs w:val="24"/>
          <w:lang w:eastAsia="lt-LT"/>
        </w:rPr>
        <w:t>kintamą sritį, kuri apima:</w:t>
      </w:r>
    </w:p>
    <w:p w14:paraId="6C7C46AD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HCDR1, kaip nurodyta SEQ ID Nr. 100,</w:t>
      </w:r>
    </w:p>
    <w:p w14:paraId="76B053C7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HCDR2, kaip nurodyta SEQ ID Nr. 102, ir</w:t>
      </w:r>
    </w:p>
    <w:p w14:paraId="658B0016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HCDR3, kaip nurodyta SEQ ID Nr. 104; ir</w:t>
      </w:r>
    </w:p>
    <w:p w14:paraId="208F4381" w14:textId="2ED6C53D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lastRenderedPageBreak/>
        <w:t xml:space="preserve">lengvosios grandinės </w:t>
      </w:r>
      <w:r w:rsidR="009125CA" w:rsidRPr="00311B2C">
        <w:rPr>
          <w:rFonts w:ascii="Helvetica" w:eastAsia="Times New Roman" w:hAnsi="Helvetica" w:cs="Arial"/>
          <w:sz w:val="20"/>
          <w:szCs w:val="24"/>
          <w:lang w:eastAsia="lt-LT"/>
        </w:rPr>
        <w:t>kintamą sritį, kuri apima:</w:t>
      </w:r>
    </w:p>
    <w:p w14:paraId="331D7AD7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LCDR1, kaip nurodyta SEQ ID Nr. 92,</w:t>
      </w:r>
    </w:p>
    <w:p w14:paraId="0CFE4ED1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LCDR2, kaip nurodyta SEQ ID Nr. 94, ir</w:t>
      </w:r>
    </w:p>
    <w:p w14:paraId="1322710F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LCDR3, kaip nurodyta SEQ ID Nr. 96; arba</w:t>
      </w:r>
    </w:p>
    <w:p w14:paraId="072BC08A" w14:textId="77777777" w:rsidR="009125CA" w:rsidRPr="00311B2C" w:rsidRDefault="001723DB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AB51C4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xii) sunkiosios grandinės </w:t>
      </w:r>
      <w:r w:rsidR="009125CA" w:rsidRPr="00311B2C">
        <w:rPr>
          <w:rFonts w:ascii="Helvetica" w:eastAsia="Times New Roman" w:hAnsi="Helvetica" w:cs="Arial"/>
          <w:sz w:val="20"/>
          <w:szCs w:val="24"/>
          <w:lang w:eastAsia="lt-LT"/>
        </w:rPr>
        <w:t>kintamą sritį, kuri apima:</w:t>
      </w:r>
    </w:p>
    <w:p w14:paraId="6B9FE625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HCDR1, kaip nurodyta SEQ ID Nr. 108,</w:t>
      </w:r>
    </w:p>
    <w:p w14:paraId="704D0735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HCDR2, kaip nurodyta SEQ ID Nr. 110, ir</w:t>
      </w:r>
    </w:p>
    <w:p w14:paraId="561A8080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HCDR3, kaip nurodyta SEQ ID Nr. 112; ir</w:t>
      </w:r>
    </w:p>
    <w:p w14:paraId="28169990" w14:textId="77777777" w:rsidR="009125CA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lengvosios grandinės </w:t>
      </w:r>
      <w:r w:rsidR="009125CA" w:rsidRPr="00311B2C">
        <w:rPr>
          <w:rFonts w:ascii="Helvetica" w:eastAsia="Times New Roman" w:hAnsi="Helvetica" w:cs="Arial"/>
          <w:sz w:val="20"/>
          <w:szCs w:val="24"/>
          <w:lang w:eastAsia="lt-LT"/>
        </w:rPr>
        <w:t>kintamą sritį, kuri apima:</w:t>
      </w:r>
    </w:p>
    <w:p w14:paraId="65AADBB4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LCDR1, kaip nurodyta SEQ ID Nr. 92,</w:t>
      </w:r>
    </w:p>
    <w:p w14:paraId="66BB66B9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LCDR2, kaip nurodyta SEQ ID Nr. 94, ir</w:t>
      </w:r>
    </w:p>
    <w:p w14:paraId="3E60BB59" w14:textId="303E06B4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LCDR3, kaip nurodyta SEQ ID Nr. 96.</w:t>
      </w:r>
    </w:p>
    <w:p w14:paraId="5693ECC6" w14:textId="77777777" w:rsidR="00311B2C" w:rsidRPr="00311B2C" w:rsidRDefault="00311B2C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D180AEB" w14:textId="36CF7779" w:rsidR="00AB51C4" w:rsidRPr="00311B2C" w:rsidRDefault="00AB51C4" w:rsidP="00311B2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2.</w:t>
      </w:r>
      <w:r w:rsidR="00311B2C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arba antigeną </w:t>
      </w:r>
      <w:r w:rsidR="00DF6D3E" w:rsidRPr="00311B2C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rišantis</w:t>
      </w:r>
      <w:r w:rsidR="009125CA" w:rsidRPr="00311B2C">
        <w:rPr>
          <w:rFonts w:ascii="Helvetica" w:hAnsi="Helvetica"/>
          <w:sz w:val="20"/>
        </w:rPr>
        <w:t xml:space="preserve"> </w:t>
      </w:r>
      <w:r w:rsidR="009125CA" w:rsidRPr="00311B2C">
        <w:rPr>
          <w:rFonts w:ascii="Helvetica" w:eastAsia="Times New Roman" w:hAnsi="Helvetica" w:cs="Arial"/>
          <w:sz w:val="20"/>
          <w:szCs w:val="24"/>
          <w:lang w:eastAsia="lt-LT"/>
        </w:rPr>
        <w:t>jo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fragmentas pagal 1 punktą, kuris apima:</w:t>
      </w:r>
    </w:p>
    <w:p w14:paraId="5E67B801" w14:textId="1C6AD49E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sunkiosios grandinės </w:t>
      </w:r>
      <w:r w:rsidR="009125CA" w:rsidRPr="00311B2C">
        <w:rPr>
          <w:rFonts w:ascii="Helvetica" w:eastAsia="Times New Roman" w:hAnsi="Helvetica" w:cs="Arial"/>
          <w:sz w:val="20"/>
          <w:szCs w:val="24"/>
          <w:lang w:eastAsia="lt-LT"/>
        </w:rPr>
        <w:t>kintamą sritį, kuri apima:</w:t>
      </w:r>
    </w:p>
    <w:p w14:paraId="4C0AE803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HCDR1, kaip nurodyta SEQ ID Nr. 36,</w:t>
      </w:r>
    </w:p>
    <w:p w14:paraId="59739946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HCDR2, kaip nurodyta SEQ ID Nr. 38, ir</w:t>
      </w:r>
    </w:p>
    <w:p w14:paraId="42CBF8A2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HCDR3, kaip nurodyta SEQ ID Nr. 40; ir</w:t>
      </w:r>
    </w:p>
    <w:p w14:paraId="260E2F67" w14:textId="396B4724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lengvosios grandinės </w:t>
      </w:r>
      <w:r w:rsidR="009125CA" w:rsidRPr="00311B2C">
        <w:rPr>
          <w:rFonts w:ascii="Helvetica" w:eastAsia="Times New Roman" w:hAnsi="Helvetica" w:cs="Arial"/>
          <w:sz w:val="20"/>
          <w:szCs w:val="24"/>
          <w:lang w:eastAsia="lt-LT"/>
        </w:rPr>
        <w:t>kintamą sritį, kuri apima:</w:t>
      </w:r>
    </w:p>
    <w:p w14:paraId="093D4003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LCDR1, kaip nurodyta SEQ ID Nr. 12,</w:t>
      </w:r>
    </w:p>
    <w:p w14:paraId="0DCD7268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LCDR2, kaip nurodyta SEQ ID Nr. 14, ir</w:t>
      </w:r>
    </w:p>
    <w:p w14:paraId="1DAAC5EB" w14:textId="03EF496A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LCDR3, kaip nurodyta SEQ ID Nr. 16.</w:t>
      </w:r>
    </w:p>
    <w:p w14:paraId="0DE0270D" w14:textId="77777777" w:rsidR="00311B2C" w:rsidRPr="00311B2C" w:rsidRDefault="00311B2C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71EE0477" w14:textId="037863E5" w:rsidR="00AB51C4" w:rsidRPr="00311B2C" w:rsidRDefault="00AB51C4" w:rsidP="00311B2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3.</w:t>
      </w:r>
      <w:r w:rsidR="00311B2C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arba antigeną </w:t>
      </w:r>
      <w:r w:rsidR="00DF6D3E" w:rsidRPr="00311B2C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rišantis</w:t>
      </w:r>
      <w:r w:rsidR="00DF6D3E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jo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fragmentas pagal 1 punktą, kuris apima:</w:t>
      </w:r>
    </w:p>
    <w:p w14:paraId="532E4E61" w14:textId="4D0EA93B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sunkiosios grandinės </w:t>
      </w:r>
      <w:r w:rsidR="00DF6D3E" w:rsidRPr="00311B2C">
        <w:rPr>
          <w:rFonts w:ascii="Helvetica" w:eastAsia="Times New Roman" w:hAnsi="Helvetica" w:cs="Arial"/>
          <w:sz w:val="20"/>
          <w:szCs w:val="24"/>
          <w:lang w:eastAsia="lt-LT"/>
        </w:rPr>
        <w:t>kintamą sritį, kuri apima:</w:t>
      </w:r>
    </w:p>
    <w:p w14:paraId="3281B089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HCDR1, kaip nurodyta SEQ ID Nr. 4,</w:t>
      </w:r>
    </w:p>
    <w:p w14:paraId="345E54AF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HCDR2, kaip nurodyta SEQ ID Nr. 6, ir</w:t>
      </w:r>
    </w:p>
    <w:p w14:paraId="21E37A0B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HCDR3, kaip nurodyta SEQ ID Nr. 8; ir</w:t>
      </w:r>
    </w:p>
    <w:p w14:paraId="2ECDC1E0" w14:textId="72AD0F14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lengvosios grandinės </w:t>
      </w:r>
      <w:r w:rsidR="00DF6D3E" w:rsidRPr="00311B2C">
        <w:rPr>
          <w:rFonts w:ascii="Helvetica" w:eastAsia="Times New Roman" w:hAnsi="Helvetica" w:cs="Arial"/>
          <w:sz w:val="20"/>
          <w:szCs w:val="24"/>
          <w:lang w:eastAsia="lt-LT"/>
        </w:rPr>
        <w:t>kintamą sritį, kuri apima:</w:t>
      </w:r>
    </w:p>
    <w:p w14:paraId="26938BF6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LCDR1, kaip nurodyta SEQ ID Nr. 12,</w:t>
      </w:r>
    </w:p>
    <w:p w14:paraId="056D3131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LCDR2, kaip nurodyta SEQ ID Nr. 14, ir</w:t>
      </w:r>
    </w:p>
    <w:p w14:paraId="4904C997" w14:textId="6B46D265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LCDR3, kaip nurodyta SEQ ID Nr. 16;</w:t>
      </w:r>
    </w:p>
    <w:p w14:paraId="17026122" w14:textId="77777777" w:rsidR="00311B2C" w:rsidRPr="00311B2C" w:rsidRDefault="00311B2C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05EB50E" w14:textId="29A5102B" w:rsidR="00AB51C4" w:rsidRPr="00311B2C" w:rsidRDefault="00AB51C4" w:rsidP="00311B2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4.</w:t>
      </w:r>
      <w:r w:rsidR="00311B2C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arba antigeną </w:t>
      </w:r>
      <w:r w:rsidR="00DF6D3E" w:rsidRPr="00311B2C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rišantis </w:t>
      </w:r>
      <w:r w:rsidR="00DF6D3E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jo 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fragmentas pagal 1 punktą, kuris apima:</w:t>
      </w:r>
    </w:p>
    <w:p w14:paraId="1C54853F" w14:textId="02F4C87C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sunkiosios grandinės </w:t>
      </w:r>
      <w:r w:rsidR="00DF6D3E" w:rsidRPr="00311B2C">
        <w:rPr>
          <w:rFonts w:ascii="Helvetica" w:eastAsia="Times New Roman" w:hAnsi="Helvetica" w:cs="Arial"/>
          <w:sz w:val="20"/>
          <w:szCs w:val="24"/>
          <w:lang w:eastAsia="lt-LT"/>
        </w:rPr>
        <w:t>kintamą sritį, kuri apima:</w:t>
      </w:r>
    </w:p>
    <w:p w14:paraId="71888D56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HCDR1, kaip nurodyta SEQ ID Nr. 28,</w:t>
      </w:r>
    </w:p>
    <w:p w14:paraId="1EA31913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HCDR2, kaip nurodyta SEQ ID Nr. 30, ir</w:t>
      </w:r>
    </w:p>
    <w:p w14:paraId="7205B90D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HCDR3, kaip nurodyta SEQ ID Nr. 32; ir</w:t>
      </w:r>
    </w:p>
    <w:p w14:paraId="60992F0B" w14:textId="5B85BC2C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lengvosios grandinės </w:t>
      </w:r>
      <w:r w:rsidR="00DF6D3E" w:rsidRPr="00311B2C">
        <w:rPr>
          <w:rFonts w:ascii="Helvetica" w:eastAsia="Times New Roman" w:hAnsi="Helvetica" w:cs="Arial"/>
          <w:sz w:val="20"/>
          <w:szCs w:val="24"/>
          <w:lang w:eastAsia="lt-LT"/>
        </w:rPr>
        <w:t>kintamą sritį, kuri apima:</w:t>
      </w:r>
    </w:p>
    <w:p w14:paraId="6FAE94A1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LCDR1, kaip nurodyta SEQ ID Nr. 12,</w:t>
      </w:r>
    </w:p>
    <w:p w14:paraId="1788EA50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LCDR2, kaip nurodyta SEQ ID Nr. 14, ir</w:t>
      </w:r>
    </w:p>
    <w:p w14:paraId="7A91C26B" w14:textId="51551351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LCDR3, kaip nurodyta SEQ ID Nr. 16</w:t>
      </w:r>
    </w:p>
    <w:p w14:paraId="47D2EC95" w14:textId="77777777" w:rsidR="00311B2C" w:rsidRPr="00311B2C" w:rsidRDefault="00311B2C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C4F4E32" w14:textId="2FBEBDF4" w:rsidR="00AB51C4" w:rsidRPr="00311B2C" w:rsidRDefault="00AB51C4" w:rsidP="00311B2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lastRenderedPageBreak/>
        <w:t>5.</w:t>
      </w:r>
      <w:r w:rsidR="00311B2C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="00DF6D3E" w:rsidRPr="00311B2C">
        <w:rPr>
          <w:rFonts w:ascii="Helvetica" w:eastAsia="Times New Roman" w:hAnsi="Helvetica" w:cs="Arial"/>
          <w:sz w:val="20"/>
          <w:szCs w:val="24"/>
          <w:lang w:eastAsia="lt-LT"/>
        </w:rPr>
        <w:t>šskir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tas antikūnas arba antigeną surišantis</w:t>
      </w:r>
      <w:r w:rsidR="00DF6D3E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jo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fragmentas, </w:t>
      </w:r>
      <w:r w:rsidR="00DF6D3E" w:rsidRPr="00311B2C">
        <w:rPr>
          <w:rFonts w:ascii="Helvetica" w:eastAsia="Times New Roman" w:hAnsi="Helvetica" w:cs="Arial"/>
          <w:sz w:val="20"/>
          <w:szCs w:val="24"/>
          <w:lang w:eastAsia="lt-LT"/>
        </w:rPr>
        <w:t>kuris suriš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a žmogaus leptino receptorių (LEPR) ir apima:</w:t>
      </w:r>
    </w:p>
    <w:p w14:paraId="6977B305" w14:textId="6C3C58B4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(i) lengvosios grandinės</w:t>
      </w:r>
      <w:r w:rsidR="00DF6D3E" w:rsidRPr="00311B2C">
        <w:rPr>
          <w:rFonts w:ascii="Helvetica" w:hAnsi="Helvetica"/>
          <w:sz w:val="20"/>
        </w:rPr>
        <w:t xml:space="preserve"> </w:t>
      </w:r>
      <w:r w:rsidR="00DF6D3E" w:rsidRPr="00311B2C">
        <w:rPr>
          <w:rFonts w:ascii="Helvetica" w:eastAsia="Times New Roman" w:hAnsi="Helvetica" w:cs="Arial"/>
          <w:sz w:val="20"/>
          <w:szCs w:val="24"/>
          <w:lang w:eastAsia="lt-LT"/>
        </w:rPr>
        <w:t>kintamą sritį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kaip nurodyta SEQ ID Nr. 10; ir sunkiosios grandinės kintamą sritį, kaip nurodyta SEQ ID Nr. 2;</w:t>
      </w:r>
    </w:p>
    <w:p w14:paraId="301BC55F" w14:textId="2613B89B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(ii)</w:t>
      </w:r>
      <w:r w:rsidR="009C011D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lengvosios grandinės</w:t>
      </w:r>
      <w:r w:rsidR="00DF6D3E" w:rsidRPr="00311B2C">
        <w:rPr>
          <w:rFonts w:ascii="Helvetica" w:hAnsi="Helvetica"/>
          <w:sz w:val="20"/>
        </w:rPr>
        <w:t xml:space="preserve"> </w:t>
      </w:r>
      <w:bookmarkStart w:id="1" w:name="_Hlk95681807"/>
      <w:r w:rsidR="00DF6D3E" w:rsidRPr="00311B2C">
        <w:rPr>
          <w:rFonts w:ascii="Helvetica" w:eastAsia="Times New Roman" w:hAnsi="Helvetica" w:cs="Arial"/>
          <w:sz w:val="20"/>
          <w:szCs w:val="24"/>
          <w:lang w:eastAsia="lt-LT"/>
        </w:rPr>
        <w:t>kintamą sritį</w:t>
      </w:r>
      <w:bookmarkEnd w:id="1"/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kaip nurodyta SEQ ID Nr. 10; ir sunkiosios grandinės kintamą sritį, kaip nurodyta SEQ ID Nr. 18;</w:t>
      </w:r>
    </w:p>
    <w:p w14:paraId="346F9F56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(iii) lengvosios grandinės kintamą sritį, kaip nurodyta SEQ ID Nr. 10; ir sunkiosios grandinės kintamą sritį, kaip nurodyta SEQ ID Nr. 26;</w:t>
      </w:r>
    </w:p>
    <w:p w14:paraId="39406735" w14:textId="77777777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(iv) lengvosios grandinės kintamą sritį, kaip nurodyta SEQ ID Nr. 10; ir sunkiosios grandinės kintamą sritį, kaip nurodyta SEQ ID Nr. 34;</w:t>
      </w:r>
    </w:p>
    <w:p w14:paraId="76C4223C" w14:textId="31009386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(v) lengvosios grandinės</w:t>
      </w:r>
      <w:r w:rsidR="00DF6D3E" w:rsidRPr="00311B2C">
        <w:rPr>
          <w:rFonts w:ascii="Helvetica" w:hAnsi="Helvetica"/>
          <w:sz w:val="20"/>
        </w:rPr>
        <w:t xml:space="preserve"> </w:t>
      </w:r>
      <w:r w:rsidR="00DF6D3E" w:rsidRPr="00311B2C">
        <w:rPr>
          <w:rFonts w:ascii="Helvetica" w:eastAsia="Times New Roman" w:hAnsi="Helvetica" w:cs="Arial"/>
          <w:sz w:val="20"/>
          <w:szCs w:val="24"/>
          <w:lang w:eastAsia="lt-LT"/>
        </w:rPr>
        <w:t>kintamą sritį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kaip nurodyta SEQ ID Nr. 10; ir sunkiosios grandinės kintamą sritį, kaip nurodyta SEQ ID Nr. 42;</w:t>
      </w:r>
    </w:p>
    <w:p w14:paraId="5D624AA9" w14:textId="1BD01EE1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(vi) lengvosios grandinės</w:t>
      </w:r>
      <w:r w:rsidR="00DF6D3E" w:rsidRPr="00311B2C">
        <w:rPr>
          <w:rFonts w:ascii="Helvetica" w:hAnsi="Helvetica"/>
          <w:sz w:val="20"/>
        </w:rPr>
        <w:t xml:space="preserve"> </w:t>
      </w:r>
      <w:r w:rsidR="00DF6D3E" w:rsidRPr="00311B2C">
        <w:rPr>
          <w:rFonts w:ascii="Helvetica" w:eastAsia="Times New Roman" w:hAnsi="Helvetica" w:cs="Arial"/>
          <w:sz w:val="20"/>
          <w:szCs w:val="24"/>
          <w:lang w:eastAsia="lt-LT"/>
        </w:rPr>
        <w:t>kintamą sritį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kaip nurodyta SEQ ID Nr. 10; ir sunkiosios grandinės kintamą sritį, kaip nurodyta SEQ ID Nr. 50;</w:t>
      </w:r>
    </w:p>
    <w:p w14:paraId="1ED720C5" w14:textId="4DE0B3B6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(vii) lengvosios grandinės</w:t>
      </w:r>
      <w:r w:rsidR="00DF6D3E" w:rsidRPr="00311B2C">
        <w:rPr>
          <w:rFonts w:ascii="Helvetica" w:hAnsi="Helvetica"/>
          <w:sz w:val="20"/>
        </w:rPr>
        <w:t xml:space="preserve"> </w:t>
      </w:r>
      <w:r w:rsidR="00DF6D3E" w:rsidRPr="00311B2C">
        <w:rPr>
          <w:rFonts w:ascii="Helvetica" w:eastAsia="Times New Roman" w:hAnsi="Helvetica" w:cs="Arial"/>
          <w:sz w:val="20"/>
          <w:szCs w:val="24"/>
          <w:lang w:eastAsia="lt-LT"/>
        </w:rPr>
        <w:t>kintamą sritį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kaip nurodyta SEQ ID Nr. 10; ir sunkiosios grandinės kintamą sritį, kaip nurodyta SEQ ID Nr. 58;</w:t>
      </w:r>
    </w:p>
    <w:p w14:paraId="3E10E435" w14:textId="3B6BB3B8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(viii) lengvosios grandinės</w:t>
      </w:r>
      <w:r w:rsidR="00DF6D3E" w:rsidRPr="00311B2C">
        <w:rPr>
          <w:rFonts w:ascii="Helvetica" w:hAnsi="Helvetica"/>
          <w:sz w:val="20"/>
        </w:rPr>
        <w:t xml:space="preserve"> </w:t>
      </w:r>
      <w:r w:rsidR="00DF6D3E" w:rsidRPr="00311B2C">
        <w:rPr>
          <w:rFonts w:ascii="Helvetica" w:eastAsia="Times New Roman" w:hAnsi="Helvetica" w:cs="Arial"/>
          <w:sz w:val="20"/>
          <w:szCs w:val="24"/>
          <w:lang w:eastAsia="lt-LT"/>
        </w:rPr>
        <w:t>kintamą sritį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kaip nurodyta SEQ ID Nr. 10; ir sunkiosios grandinės kintamą sritį, kaip nurodyta SEQ ID Nr. 66;</w:t>
      </w:r>
    </w:p>
    <w:p w14:paraId="290F9966" w14:textId="73FBAF2C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(ix) lengvosios grandinės</w:t>
      </w:r>
      <w:r w:rsidR="00DF6D3E" w:rsidRPr="00311B2C">
        <w:rPr>
          <w:rFonts w:ascii="Helvetica" w:hAnsi="Helvetica"/>
          <w:sz w:val="20"/>
        </w:rPr>
        <w:t xml:space="preserve"> </w:t>
      </w:r>
      <w:r w:rsidR="00DF6D3E" w:rsidRPr="00311B2C">
        <w:rPr>
          <w:rFonts w:ascii="Helvetica" w:eastAsia="Times New Roman" w:hAnsi="Helvetica" w:cs="Arial"/>
          <w:sz w:val="20"/>
          <w:szCs w:val="24"/>
          <w:lang w:eastAsia="lt-LT"/>
        </w:rPr>
        <w:t>kintamą sritį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kaip nurodyta SEQ ID Nr. 10; ir sunkiosios grandinės kintamą sritį, kaip nurodyta SEQ ID Nr. 74;</w:t>
      </w:r>
    </w:p>
    <w:p w14:paraId="567CB738" w14:textId="1A025EEB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(x) lengvosios grandinės</w:t>
      </w:r>
      <w:r w:rsidR="00DF6D3E" w:rsidRPr="00311B2C">
        <w:rPr>
          <w:rFonts w:ascii="Helvetica" w:hAnsi="Helvetica"/>
          <w:sz w:val="20"/>
        </w:rPr>
        <w:t xml:space="preserve"> </w:t>
      </w:r>
      <w:r w:rsidR="00DF6D3E" w:rsidRPr="00311B2C">
        <w:rPr>
          <w:rFonts w:ascii="Helvetica" w:eastAsia="Times New Roman" w:hAnsi="Helvetica" w:cs="Arial"/>
          <w:sz w:val="20"/>
          <w:szCs w:val="24"/>
          <w:lang w:eastAsia="lt-LT"/>
        </w:rPr>
        <w:t>kintamą sritį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kaip nurodyta SEQ ID Nr. 90; ir sunkiosios grandinės kintamą sritį, kaip nurodyta SEQ ID Nr. 82;</w:t>
      </w:r>
    </w:p>
    <w:p w14:paraId="098DBF08" w14:textId="3E857813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(xi) lengvosios grandinės</w:t>
      </w:r>
      <w:r w:rsidR="00DF6D3E" w:rsidRPr="00311B2C">
        <w:rPr>
          <w:rFonts w:ascii="Helvetica" w:hAnsi="Helvetica"/>
          <w:sz w:val="20"/>
        </w:rPr>
        <w:t xml:space="preserve"> </w:t>
      </w:r>
      <w:r w:rsidR="00DF6D3E" w:rsidRPr="00311B2C">
        <w:rPr>
          <w:rFonts w:ascii="Helvetica" w:eastAsia="Times New Roman" w:hAnsi="Helvetica" w:cs="Arial"/>
          <w:sz w:val="20"/>
          <w:szCs w:val="24"/>
          <w:lang w:eastAsia="lt-LT"/>
        </w:rPr>
        <w:t>kintamą sritį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kaip nurodyta SEQ ID Nr. 90; ir sunkiosios grandinės kintamą sritį, kaip nurodyta SEQ ID Nr. 98; arba</w:t>
      </w:r>
    </w:p>
    <w:p w14:paraId="1DE647A9" w14:textId="01CAE806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(xii) lengvosios grandinės</w:t>
      </w:r>
      <w:r w:rsidR="00DF6D3E" w:rsidRPr="00311B2C">
        <w:rPr>
          <w:rFonts w:ascii="Helvetica" w:hAnsi="Helvetica"/>
          <w:sz w:val="20"/>
        </w:rPr>
        <w:t xml:space="preserve"> </w:t>
      </w:r>
      <w:r w:rsidR="00DF6D3E" w:rsidRPr="00311B2C">
        <w:rPr>
          <w:rFonts w:ascii="Helvetica" w:eastAsia="Times New Roman" w:hAnsi="Helvetica" w:cs="Arial"/>
          <w:sz w:val="20"/>
          <w:szCs w:val="24"/>
          <w:lang w:eastAsia="lt-LT"/>
        </w:rPr>
        <w:t>kintamą sritį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kaip nurodyta SEQ ID Nr. 90; ir sunkiosios grandinės kintamą sritį, kaip nurodyta SEQ ID Nr. 106</w:t>
      </w:r>
      <w:r w:rsidR="00DF6D3E" w:rsidRPr="00311B2C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6033E420" w14:textId="77777777" w:rsidR="00311B2C" w:rsidRPr="00311B2C" w:rsidRDefault="00311B2C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AAE4983" w14:textId="77777777" w:rsidR="00057437" w:rsidRDefault="00AB51C4" w:rsidP="00057437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6.</w:t>
      </w:r>
      <w:r w:rsidR="00311B2C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arba antigeną </w:t>
      </w:r>
      <w:r w:rsidR="009C011D" w:rsidRPr="00311B2C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rišantis</w:t>
      </w:r>
      <w:r w:rsidR="009C011D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jo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fragmentas pagal bet kurį iš 1-5 punktų, kuris</w:t>
      </w:r>
      <w:r w:rsidR="009C011D" w:rsidRPr="00311B2C">
        <w:rPr>
          <w:rFonts w:ascii="Helvetica" w:hAnsi="Helvetica"/>
          <w:sz w:val="20"/>
        </w:rPr>
        <w:t xml:space="preserve"> </w:t>
      </w:r>
      <w:r w:rsidR="009C011D" w:rsidRPr="00311B2C">
        <w:rPr>
          <w:rFonts w:ascii="Helvetica" w:eastAsia="Times New Roman" w:hAnsi="Helvetica" w:cs="Arial"/>
          <w:sz w:val="20"/>
          <w:szCs w:val="24"/>
          <w:lang w:eastAsia="lt-LT"/>
        </w:rPr>
        <w:t>yra antikūnas.</w:t>
      </w:r>
    </w:p>
    <w:p w14:paraId="59C0BD7B" w14:textId="77777777" w:rsidR="00057437" w:rsidRDefault="00057437" w:rsidP="00057437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47ACA5F" w14:textId="2B46E4B5" w:rsidR="001C6EFA" w:rsidRPr="00311B2C" w:rsidRDefault="00AB51C4" w:rsidP="00057437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7.</w:t>
      </w:r>
      <w:r w:rsidR="00311B2C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pagal 6 punktą, kuris apima sunkiosios grandinės kintamą sritį, kaip nurodyta SEQ ID Nr. 26; ir lengvosios grandinės kintamą sritį, kaip nurodyta SEQ ID </w:t>
      </w:r>
      <w:r w:rsidR="001C6EFA" w:rsidRPr="00311B2C">
        <w:rPr>
          <w:rFonts w:ascii="Helvetica" w:eastAsia="Times New Roman" w:hAnsi="Helvetica" w:cs="Arial"/>
          <w:sz w:val="20"/>
          <w:szCs w:val="24"/>
          <w:lang w:eastAsia="lt-LT"/>
        </w:rPr>
        <w:t>Nr. 10.</w:t>
      </w:r>
    </w:p>
    <w:p w14:paraId="07957F2E" w14:textId="77777777" w:rsidR="00311B2C" w:rsidRPr="00311B2C" w:rsidRDefault="00311B2C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7E4A9A2C" w14:textId="0D3CB2E0" w:rsidR="00311B2C" w:rsidRPr="00311B2C" w:rsidRDefault="00AB51C4" w:rsidP="00311B2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8.</w:t>
      </w:r>
      <w:r w:rsidR="00311B2C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Farmacinė kompozicija, apimanti antikūną arba antigeną </w:t>
      </w:r>
      <w:r w:rsidR="00DF6D3E" w:rsidRPr="00311B2C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rišantį</w:t>
      </w:r>
      <w:r w:rsidR="00DF6D3E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jo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fragmentą pagal bet kurį iš 1-7 punktų ir farmaciniu požiūriu priimtiną nešiklį arba skiediklį.</w:t>
      </w:r>
    </w:p>
    <w:p w14:paraId="6CA6E076" w14:textId="77777777" w:rsidR="00311B2C" w:rsidRPr="00311B2C" w:rsidRDefault="00311B2C" w:rsidP="00311B2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06F0E3B" w14:textId="58BF0C2A" w:rsidR="00A97759" w:rsidRPr="00311B2C" w:rsidRDefault="00AB51C4" w:rsidP="00311B2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9.</w:t>
      </w:r>
      <w:r w:rsidR="00311B2C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Farmacinė kompozicija pagal 8 punktą, skirta naudoti ligos arba būklės, susijusios su arba sukeltos leptino trūkum</w:t>
      </w:r>
      <w:r w:rsidR="001C6EFA" w:rsidRPr="00311B2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arba atsparum</w:t>
      </w:r>
      <w:r w:rsidR="001C6EFA" w:rsidRPr="00311B2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leptinui, </w:t>
      </w:r>
      <w:r w:rsidR="00936A00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gydymo būde, 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A97759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liga arba būklė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yra parinkta iš grupės, susidedančios iš lipodistrofijos, nutukimo, metabolinio sindromo, funkcinės </w:t>
      </w:r>
      <w:r w:rsidR="002E5A3A" w:rsidRPr="00311B2C">
        <w:rPr>
          <w:rFonts w:ascii="Helvetica" w:eastAsia="Times New Roman" w:hAnsi="Helvetica" w:cs="Arial"/>
          <w:sz w:val="20"/>
          <w:szCs w:val="24"/>
          <w:lang w:eastAsia="lt-LT"/>
        </w:rPr>
        <w:t>hipotaliaminės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amenorėjos,</w:t>
      </w:r>
      <w:r w:rsidR="008B6A19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1 tipo diabet</w:t>
      </w:r>
      <w:r w:rsidR="002E5A3A" w:rsidRPr="00311B2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2 tipo diabe</w:t>
      </w:r>
      <w:r w:rsidR="002E5A3A" w:rsidRPr="00311B2C">
        <w:rPr>
          <w:rFonts w:ascii="Helvetica" w:eastAsia="Times New Roman" w:hAnsi="Helvetica" w:cs="Arial"/>
          <w:sz w:val="20"/>
          <w:szCs w:val="24"/>
          <w:lang w:eastAsia="lt-LT"/>
        </w:rPr>
        <w:t>to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atsparum</w:t>
      </w:r>
      <w:r w:rsidR="002E5A3A" w:rsidRPr="00311B2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insulinui, sunk</w:t>
      </w:r>
      <w:r w:rsidR="002E5A3A" w:rsidRPr="00311B2C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us atsparum</w:t>
      </w:r>
      <w:r w:rsidR="002E5A3A" w:rsidRPr="00311B2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insulinui dėl insulino receptoriaus mutacijos</w:t>
      </w:r>
      <w:r w:rsidR="002E5A3A" w:rsidRPr="00311B2C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311B2C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Alzheimerio lig</w:t>
      </w:r>
      <w:r w:rsidR="002E5A3A" w:rsidRPr="00311B2C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leptino trūkum</w:t>
      </w:r>
      <w:r w:rsidR="002E5A3A" w:rsidRPr="00311B2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atsparum</w:t>
      </w:r>
      <w:r w:rsidR="002E5A3A" w:rsidRPr="00311B2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leptinui, Leprechaunizm</w:t>
      </w:r>
      <w:r w:rsidR="00936A00" w:rsidRPr="00311B2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/Donohue sindrom</w:t>
      </w:r>
      <w:r w:rsidR="00936A00" w:rsidRPr="00311B2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ir Rabson-Mendenhall sindrom</w:t>
      </w:r>
      <w:r w:rsidR="00936A00" w:rsidRPr="00311B2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936A00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šis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936A00" w:rsidRPr="00311B2C">
        <w:rPr>
          <w:rFonts w:ascii="Helvetica" w:eastAsia="Times New Roman" w:hAnsi="Helvetica" w:cs="Arial"/>
          <w:sz w:val="20"/>
          <w:szCs w:val="24"/>
          <w:lang w:eastAsia="lt-LT"/>
        </w:rPr>
        <w:t>bū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das, apima farmacinės kompozicijos </w:t>
      </w:r>
      <w:r w:rsidR="00A97759" w:rsidRPr="00311B2C">
        <w:rPr>
          <w:rFonts w:ascii="Helvetica" w:eastAsia="Times New Roman" w:hAnsi="Helvetica" w:cs="Arial"/>
          <w:sz w:val="20"/>
          <w:szCs w:val="24"/>
          <w:lang w:eastAsia="lt-LT"/>
        </w:rPr>
        <w:t>skyrimą pacientui, kuriam reikalingas toks gydymas.</w:t>
      </w:r>
    </w:p>
    <w:p w14:paraId="25139D2F" w14:textId="77777777" w:rsidR="00311B2C" w:rsidRPr="00311B2C" w:rsidRDefault="00311B2C" w:rsidP="00311B2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65E963F" w14:textId="7B6B6AFE" w:rsidR="007D5DBB" w:rsidRPr="00311B2C" w:rsidRDefault="00AB51C4" w:rsidP="00311B2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lastRenderedPageBreak/>
        <w:t>10.</w:t>
      </w:r>
      <w:r w:rsidR="00311B2C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Farmacinė kompozicija pagal 8 punktą, skirta naudoti lipodistrofijos būklės </w:t>
      </w:r>
      <w:r w:rsidR="00A97759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paciente 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gydymo būdui, kuris apima farmacinės kompozicijos skyrimą pacientui, kuriam reik</w:t>
      </w:r>
      <w:r w:rsidR="00A97759" w:rsidRPr="00311B2C">
        <w:rPr>
          <w:rFonts w:ascii="Helvetica" w:eastAsia="Times New Roman" w:hAnsi="Helvetica" w:cs="Arial"/>
          <w:sz w:val="20"/>
          <w:szCs w:val="24"/>
          <w:lang w:eastAsia="lt-LT"/>
        </w:rPr>
        <w:t>alingas toks gydymas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kur lipodistrofijos būklė yra parinkta iš grupės, susidedančios iš įgimtos generalizuotos lipodistrofijos, įgytos generalizuot</w:t>
      </w:r>
      <w:r w:rsidR="00A97759" w:rsidRPr="00311B2C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lipodistrofij</w:t>
      </w:r>
      <w:r w:rsidR="00A97759" w:rsidRPr="00311B2C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šeiminė</w:t>
      </w:r>
      <w:r w:rsidR="00A97759" w:rsidRPr="00311B2C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dalinė</w:t>
      </w:r>
      <w:r w:rsidR="00A97759" w:rsidRPr="00311B2C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lipodistrofij</w:t>
      </w:r>
      <w:r w:rsidR="00A97759" w:rsidRPr="00311B2C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įgyt</w:t>
      </w:r>
      <w:r w:rsidR="00A97759" w:rsidRPr="00311B2C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dalinė</w:t>
      </w:r>
      <w:r w:rsidR="00A97759" w:rsidRPr="00311B2C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lipodistrofij</w:t>
      </w:r>
      <w:r w:rsidR="00A97759" w:rsidRPr="00311B2C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išcentrinė</w:t>
      </w:r>
      <w:r w:rsidR="007D5DBB" w:rsidRPr="00311B2C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pilvo </w:t>
      </w:r>
      <w:r w:rsidR="007D5DBB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srities 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lipodistrofij</w:t>
      </w:r>
      <w:r w:rsidR="007D5DBB" w:rsidRPr="00311B2C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lipoatrophia annularis, lokalizuot</w:t>
      </w:r>
      <w:r w:rsidR="00A97759" w:rsidRPr="00311B2C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lipodistrofij</w:t>
      </w:r>
      <w:r w:rsidR="00A97759" w:rsidRPr="00311B2C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ir su ŽIV</w:t>
      </w:r>
      <w:r w:rsidR="007D5DBB" w:rsidRPr="00311B2C">
        <w:rPr>
          <w:rFonts w:ascii="Helvetica" w:hAnsi="Helvetica"/>
          <w:sz w:val="20"/>
        </w:rPr>
        <w:t xml:space="preserve"> </w:t>
      </w:r>
      <w:r w:rsidR="007D5DBB" w:rsidRPr="00311B2C">
        <w:rPr>
          <w:rFonts w:ascii="Helvetica" w:eastAsia="Times New Roman" w:hAnsi="Helvetica" w:cs="Arial"/>
          <w:sz w:val="20"/>
          <w:szCs w:val="24"/>
          <w:lang w:eastAsia="lt-LT"/>
        </w:rPr>
        <w:t>susijusios lipodistrofijos.</w:t>
      </w:r>
    </w:p>
    <w:p w14:paraId="62C33C45" w14:textId="77777777" w:rsidR="007D5DBB" w:rsidRPr="00311B2C" w:rsidRDefault="007D5DBB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310E75E" w14:textId="04BCDDAC" w:rsidR="00AB51C4" w:rsidRPr="00311B2C" w:rsidRDefault="00AB51C4" w:rsidP="00311B2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11.</w:t>
      </w:r>
      <w:r w:rsidR="00311B2C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Farmacinė kompozicija pagal 8 punktą, skirta naudoti ligos arba būklės, susijusios su</w:t>
      </w:r>
      <w:r w:rsidR="007D5DBB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arba sukeltos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bookmarkStart w:id="2" w:name="_Hlk95743567"/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signal</w:t>
      </w:r>
      <w:r w:rsidR="007D5DBB" w:rsidRPr="00311B2C">
        <w:rPr>
          <w:rFonts w:ascii="Helvetica" w:eastAsia="Times New Roman" w:hAnsi="Helvetica" w:cs="Arial"/>
          <w:sz w:val="20"/>
          <w:szCs w:val="24"/>
          <w:lang w:eastAsia="lt-LT"/>
        </w:rPr>
        <w:t>o perdavimo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defekt</w:t>
      </w:r>
      <w:r w:rsidR="007D5DBB" w:rsidRPr="00311B2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ar signal</w:t>
      </w:r>
      <w:r w:rsidR="007D5DBB" w:rsidRPr="00311B2C">
        <w:rPr>
          <w:rFonts w:ascii="Helvetica" w:eastAsia="Times New Roman" w:hAnsi="Helvetica" w:cs="Arial"/>
          <w:sz w:val="20"/>
          <w:szCs w:val="24"/>
          <w:lang w:eastAsia="lt-LT"/>
        </w:rPr>
        <w:t>o perdavimą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sutrik</w:t>
      </w:r>
      <w:r w:rsidR="007D5DBB" w:rsidRPr="00311B2C">
        <w:rPr>
          <w:rFonts w:ascii="Helvetica" w:eastAsia="Times New Roman" w:hAnsi="Helvetica" w:cs="Arial"/>
          <w:sz w:val="20"/>
          <w:szCs w:val="24"/>
          <w:lang w:eastAsia="lt-LT"/>
        </w:rPr>
        <w:t>dančios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bookmarkEnd w:id="2"/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LEPR mutacij</w:t>
      </w:r>
      <w:r w:rsidR="007D5DBB" w:rsidRPr="00311B2C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gydymo būd</w:t>
      </w:r>
      <w:r w:rsidR="00DF0932" w:rsidRPr="00311B2C">
        <w:rPr>
          <w:rFonts w:ascii="Helvetica" w:eastAsia="Times New Roman" w:hAnsi="Helvetica" w:cs="Arial"/>
          <w:sz w:val="20"/>
          <w:szCs w:val="24"/>
          <w:lang w:eastAsia="lt-LT"/>
        </w:rPr>
        <w:t>ui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r w:rsidR="00DF0932" w:rsidRPr="00311B2C">
        <w:rPr>
          <w:rFonts w:ascii="Helvetica" w:eastAsia="Times New Roman" w:hAnsi="Helvetica" w:cs="Arial"/>
          <w:sz w:val="20"/>
          <w:szCs w:val="24"/>
          <w:lang w:eastAsia="lt-LT"/>
        </w:rPr>
        <w:t>šis bū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das apima farmacinės kompozicijos skyrimą subjektui, kuriam </w:t>
      </w:r>
      <w:r w:rsidR="00DF0932" w:rsidRPr="00311B2C">
        <w:rPr>
          <w:rFonts w:ascii="Helvetica" w:eastAsia="Times New Roman" w:hAnsi="Helvetica" w:cs="Arial"/>
          <w:sz w:val="20"/>
          <w:szCs w:val="24"/>
          <w:lang w:eastAsia="lt-LT"/>
        </w:rPr>
        <w:t>reikalingas toks gydymas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kur:</w:t>
      </w:r>
    </w:p>
    <w:p w14:paraId="3A88B573" w14:textId="31100B68" w:rsidR="00AB51C4" w:rsidRPr="00311B2C" w:rsidRDefault="00DF0932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AB51C4" w:rsidRPr="00311B2C">
        <w:rPr>
          <w:rFonts w:ascii="Helvetica" w:eastAsia="Times New Roman" w:hAnsi="Helvetica" w:cs="Arial"/>
          <w:sz w:val="20"/>
          <w:szCs w:val="24"/>
          <w:lang w:eastAsia="lt-LT"/>
        </w:rPr>
        <w:t>a)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signalo perdavimo defekto ar signalo perdavimą sutrikdanti</w:t>
      </w:r>
      <w:r w:rsidR="00AB51C4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LEPR mutacija yra LEPR-A409E arba LEPR-P316T; ir</w:t>
      </w:r>
    </w:p>
    <w:p w14:paraId="29A5CE61" w14:textId="7C81CEAA" w:rsidR="00AB51C4" w:rsidRPr="00311B2C" w:rsidRDefault="00DF0932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AB51C4" w:rsidRPr="00311B2C">
        <w:rPr>
          <w:rFonts w:ascii="Helvetica" w:eastAsia="Times New Roman" w:hAnsi="Helvetica" w:cs="Arial"/>
          <w:sz w:val="20"/>
          <w:szCs w:val="24"/>
          <w:lang w:eastAsia="lt-LT"/>
        </w:rPr>
        <w:t>b) liga arba būklė, susijusi su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arba sukelta</w:t>
      </w:r>
      <w:r w:rsidR="00AB51C4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signal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o perdavimo</w:t>
      </w:r>
      <w:r w:rsidR="00AB51C4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defekt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AB51C4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ar</w:t>
      </w:r>
      <w:r w:rsidRPr="00311B2C">
        <w:rPr>
          <w:rFonts w:ascii="Helvetica" w:hAnsi="Helvetica"/>
          <w:sz w:val="20"/>
        </w:rPr>
        <w:t xml:space="preserve"> 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signalo perdavimą sutrikdančios</w:t>
      </w:r>
      <w:r w:rsidR="00AB51C4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LEPR mutacij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="00AB51C4" w:rsidRPr="00311B2C">
        <w:rPr>
          <w:rFonts w:ascii="Helvetica" w:eastAsia="Times New Roman" w:hAnsi="Helvetica" w:cs="Arial"/>
          <w:sz w:val="20"/>
          <w:szCs w:val="24"/>
          <w:lang w:eastAsia="lt-LT"/>
        </w:rPr>
        <w:t>, yra ankst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i prasidedantis</w:t>
      </w:r>
      <w:r w:rsidR="00AB51C4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nutukimas.</w:t>
      </w:r>
    </w:p>
    <w:p w14:paraId="1AE2519C" w14:textId="77777777" w:rsidR="00311B2C" w:rsidRPr="00311B2C" w:rsidRDefault="00311B2C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B57F626" w14:textId="77619F44" w:rsidR="00FD0C03" w:rsidRPr="00311B2C" w:rsidRDefault="00AB51C4" w:rsidP="00311B2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12.</w:t>
      </w:r>
      <w:r w:rsidR="00311B2C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Farmacinė kompozicija, skirta naudoti būdu</w:t>
      </w:r>
      <w:r w:rsidR="00DF0932" w:rsidRPr="00311B2C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pagal bet kurį iš 9-11 punktų, kur būdas papildomai apima antrojo terapinio agento skyrimą subjektui, kur antrasis terapinis agentas yra parinktas iš grupės, susidedančios iš rekombinantinio žmogaus leptino, PCSK9 inhibitoriaus, statin</w:t>
      </w:r>
      <w:r w:rsidR="00DF0932" w:rsidRPr="00311B2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ezetimib</w:t>
      </w:r>
      <w:r w:rsidR="00FD0C03" w:rsidRPr="00311B2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insulin</w:t>
      </w:r>
      <w:r w:rsidR="00FD0C03" w:rsidRPr="00311B2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insulino variant</w:t>
      </w:r>
      <w:r w:rsidR="00FD0C03" w:rsidRPr="00311B2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insulino sekreciją skatinan</w:t>
      </w:r>
      <w:r w:rsidR="00FD0C03" w:rsidRPr="00311B2C">
        <w:rPr>
          <w:rFonts w:ascii="Helvetica" w:eastAsia="Times New Roman" w:hAnsi="Helvetica" w:cs="Arial"/>
          <w:sz w:val="20"/>
          <w:szCs w:val="24"/>
          <w:lang w:eastAsia="lt-LT"/>
        </w:rPr>
        <w:t>čio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preparat</w:t>
      </w:r>
      <w:r w:rsidR="00FD0C03" w:rsidRPr="00311B2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metformin</w:t>
      </w:r>
      <w:r w:rsidR="00FD0C03" w:rsidRPr="00311B2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sulfonilkarbamid</w:t>
      </w:r>
      <w:r w:rsidR="00FD0C03" w:rsidRPr="00311B2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natrio gliukozės kotransporteri</w:t>
      </w:r>
      <w:r w:rsidR="00FD0C03" w:rsidRPr="00311B2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2 inhibitori</w:t>
      </w:r>
      <w:r w:rsidR="00FD0C03" w:rsidRPr="00311B2C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us, GLP-1 agonist</w:t>
      </w:r>
      <w:r w:rsidR="00FD0C03" w:rsidRPr="00311B2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/analog</w:t>
      </w:r>
      <w:r w:rsidR="00FD0C03" w:rsidRPr="00311B2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gliukagono inhibitori</w:t>
      </w:r>
      <w:r w:rsidR="00FD0C03" w:rsidRPr="00311B2C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us, gliukagono receptori</w:t>
      </w:r>
      <w:r w:rsidR="00FD0C03" w:rsidRPr="00311B2C">
        <w:rPr>
          <w:rFonts w:ascii="Helvetica" w:eastAsia="Times New Roman" w:hAnsi="Helvetica" w:cs="Arial"/>
          <w:sz w:val="20"/>
          <w:szCs w:val="24"/>
          <w:lang w:eastAsia="lt-LT"/>
        </w:rPr>
        <w:t>aus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inhibitori</w:t>
      </w:r>
      <w:r w:rsidR="00FD0C03" w:rsidRPr="00311B2C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us, į angiopoetiną panaš</w:t>
      </w:r>
      <w:r w:rsidR="00FD0C03" w:rsidRPr="00311B2C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us baltym</w:t>
      </w:r>
      <w:r w:rsidR="00FD0C03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o 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inhibitori</w:t>
      </w:r>
      <w:r w:rsidR="00FD0C03" w:rsidRPr="00311B2C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us, fentermin</w:t>
      </w:r>
      <w:r w:rsidR="00FD0C03" w:rsidRPr="00311B2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orlistat</w:t>
      </w:r>
      <w:r w:rsidR="00FD0C03" w:rsidRPr="00311B2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topiramat</w:t>
      </w:r>
      <w:r w:rsidR="00FD0C03" w:rsidRPr="00311B2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bupropion</w:t>
      </w:r>
      <w:r w:rsidR="00FD0C03" w:rsidRPr="00311B2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topiramat</w:t>
      </w:r>
      <w:r w:rsidR="00FD0C03" w:rsidRPr="00311B2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/fentermin</w:t>
      </w:r>
      <w:r w:rsidR="00FD0C03" w:rsidRPr="00311B2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bupropion</w:t>
      </w:r>
      <w:r w:rsidR="00FD0C03" w:rsidRPr="00311B2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/ naltrekson</w:t>
      </w:r>
      <w:r w:rsidR="00FD0C03" w:rsidRPr="00311B2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bupropion</w:t>
      </w:r>
      <w:r w:rsidR="00FD0C03" w:rsidRPr="00311B2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/zonisamid</w:t>
      </w:r>
      <w:r w:rsidR="00FD0C03" w:rsidRPr="00311B2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pramlintid</w:t>
      </w:r>
      <w:r w:rsidR="00FD0C03" w:rsidRPr="00311B2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/metrelepin</w:t>
      </w:r>
      <w:r w:rsidR="00FD0C03" w:rsidRPr="00311B2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lorkaserin</w:t>
      </w:r>
      <w:r w:rsidR="00FD0C03" w:rsidRPr="00311B2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 cetilistat</w:t>
      </w:r>
      <w:r w:rsidR="00FD0C03" w:rsidRPr="00311B2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FD0C03" w:rsidRPr="00311B2C">
        <w:rPr>
          <w:rFonts w:ascii="Helvetica" w:hAnsi="Helvetica"/>
          <w:sz w:val="20"/>
        </w:rPr>
        <w:t xml:space="preserve"> </w:t>
      </w:r>
      <w:r w:rsidR="00FD0C03" w:rsidRPr="00311B2C">
        <w:rPr>
          <w:rFonts w:ascii="Helvetica" w:eastAsia="Times New Roman" w:hAnsi="Helvetica" w:cs="Arial"/>
          <w:sz w:val="20"/>
          <w:szCs w:val="24"/>
          <w:lang w:eastAsia="lt-LT"/>
        </w:rPr>
        <w:t>tesofenzino ir velneperito.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</w:p>
    <w:p w14:paraId="7727EC7C" w14:textId="77777777" w:rsidR="00311B2C" w:rsidRPr="00311B2C" w:rsidRDefault="00311B2C" w:rsidP="00311B2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6890A19" w14:textId="6FBA9CF7" w:rsidR="00FD0C03" w:rsidRPr="00311B2C" w:rsidRDefault="00AB51C4" w:rsidP="00311B2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13.</w:t>
      </w:r>
      <w:r w:rsidR="00311B2C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Išskirtas polinukleotidas, k</w:t>
      </w:r>
      <w:r w:rsidR="00FD0C03" w:rsidRPr="00311B2C">
        <w:rPr>
          <w:rFonts w:ascii="Helvetica" w:eastAsia="Times New Roman" w:hAnsi="Helvetica" w:cs="Arial"/>
          <w:sz w:val="20"/>
          <w:szCs w:val="24"/>
          <w:lang w:eastAsia="lt-LT"/>
        </w:rPr>
        <w:t>uris k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oduoja antikūno arba antigeną </w:t>
      </w:r>
      <w:r w:rsidR="00FD0C03" w:rsidRPr="00311B2C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rišančio fragmento pagal bet kurį iš 1-7 punktų sunkiosios grandinės kintamą sritį ir</w:t>
      </w:r>
      <w:r w:rsidR="00FD0C03" w:rsidRPr="00311B2C">
        <w:rPr>
          <w:rFonts w:ascii="Helvetica" w:hAnsi="Helvetica"/>
          <w:sz w:val="20"/>
        </w:rPr>
        <w:t xml:space="preserve"> </w:t>
      </w:r>
      <w:r w:rsidR="00FD0C03" w:rsidRPr="00311B2C">
        <w:rPr>
          <w:rFonts w:ascii="Helvetica" w:eastAsia="Times New Roman" w:hAnsi="Helvetica" w:cs="Arial"/>
          <w:sz w:val="20"/>
          <w:szCs w:val="24"/>
          <w:lang w:eastAsia="lt-LT"/>
        </w:rPr>
        <w:t>lengvosios grandinės kintamą sritį.</w:t>
      </w:r>
    </w:p>
    <w:p w14:paraId="55F662D0" w14:textId="40A25E30" w:rsidR="00AB51C4" w:rsidRPr="00311B2C" w:rsidRDefault="00AB51C4" w:rsidP="00311B2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4EC8A03" w14:textId="47EEFEA4" w:rsidR="00FD0C03" w:rsidRPr="00311B2C" w:rsidRDefault="00AB51C4" w:rsidP="00311B2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>14.</w:t>
      </w:r>
      <w:r w:rsidR="00311B2C"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Rekombinantinis </w:t>
      </w:r>
      <w:r w:rsidR="00FD0C03" w:rsidRPr="00311B2C">
        <w:rPr>
          <w:rFonts w:ascii="Helvetica" w:eastAsia="Times New Roman" w:hAnsi="Helvetica" w:cs="Arial"/>
          <w:sz w:val="20"/>
          <w:szCs w:val="24"/>
          <w:lang w:eastAsia="lt-LT"/>
        </w:rPr>
        <w:t>raišk</w:t>
      </w:r>
      <w:r w:rsidRPr="00311B2C">
        <w:rPr>
          <w:rFonts w:ascii="Helvetica" w:eastAsia="Times New Roman" w:hAnsi="Helvetica" w:cs="Arial"/>
          <w:sz w:val="20"/>
          <w:szCs w:val="24"/>
          <w:lang w:eastAsia="lt-LT"/>
        </w:rPr>
        <w:t xml:space="preserve">os vektorius, apimantis polinukleotidą pagal 13 punktą, arba </w:t>
      </w:r>
      <w:r w:rsidR="00FD0C03" w:rsidRPr="00311B2C">
        <w:rPr>
          <w:rFonts w:ascii="Helvetica" w:eastAsia="Times New Roman" w:hAnsi="Helvetica" w:cs="Arial"/>
          <w:sz w:val="20"/>
          <w:szCs w:val="24"/>
          <w:lang w:eastAsia="lt-LT"/>
        </w:rPr>
        <w:t>ląstelė-šeimininkė, apimanti vektorių.</w:t>
      </w:r>
    </w:p>
    <w:sectPr w:rsidR="00FD0C03" w:rsidRPr="00311B2C" w:rsidSect="00311B2C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F26FA" w14:textId="77777777" w:rsidR="0043283C" w:rsidRDefault="0043283C" w:rsidP="00091CF5">
      <w:pPr>
        <w:spacing w:after="0" w:line="240" w:lineRule="auto"/>
      </w:pPr>
      <w:r>
        <w:separator/>
      </w:r>
    </w:p>
  </w:endnote>
  <w:endnote w:type="continuationSeparator" w:id="0">
    <w:p w14:paraId="1951FC96" w14:textId="77777777" w:rsidR="0043283C" w:rsidRDefault="0043283C" w:rsidP="0009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8B868" w14:textId="77777777" w:rsidR="0043283C" w:rsidRDefault="0043283C" w:rsidP="00091CF5">
      <w:pPr>
        <w:spacing w:after="0" w:line="240" w:lineRule="auto"/>
      </w:pPr>
      <w:r>
        <w:separator/>
      </w:r>
    </w:p>
  </w:footnote>
  <w:footnote w:type="continuationSeparator" w:id="0">
    <w:p w14:paraId="3D443DAF" w14:textId="77777777" w:rsidR="0043283C" w:rsidRDefault="0043283C" w:rsidP="00091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1C4"/>
    <w:rsid w:val="00026740"/>
    <w:rsid w:val="00050042"/>
    <w:rsid w:val="000550EF"/>
    <w:rsid w:val="00057437"/>
    <w:rsid w:val="00073426"/>
    <w:rsid w:val="00091CF5"/>
    <w:rsid w:val="001634D5"/>
    <w:rsid w:val="001723DB"/>
    <w:rsid w:val="001C6EFA"/>
    <w:rsid w:val="002E5A3A"/>
    <w:rsid w:val="00311B2C"/>
    <w:rsid w:val="003F7C7A"/>
    <w:rsid w:val="0043283C"/>
    <w:rsid w:val="004504C9"/>
    <w:rsid w:val="00656CA8"/>
    <w:rsid w:val="007D5DBB"/>
    <w:rsid w:val="008B6A19"/>
    <w:rsid w:val="009125CA"/>
    <w:rsid w:val="00936A00"/>
    <w:rsid w:val="00946325"/>
    <w:rsid w:val="009C011D"/>
    <w:rsid w:val="00A97759"/>
    <w:rsid w:val="00AB51C4"/>
    <w:rsid w:val="00B8720A"/>
    <w:rsid w:val="00BE3376"/>
    <w:rsid w:val="00C506FB"/>
    <w:rsid w:val="00C85457"/>
    <w:rsid w:val="00D5779F"/>
    <w:rsid w:val="00DF0932"/>
    <w:rsid w:val="00DF6D3E"/>
    <w:rsid w:val="00E066FB"/>
    <w:rsid w:val="00FD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6DC92"/>
  <w15:chartTrackingRefBased/>
  <w15:docId w15:val="{72755001-4855-423F-BC90-964A2A54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125C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91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91CF5"/>
  </w:style>
  <w:style w:type="paragraph" w:styleId="Porat">
    <w:name w:val="footer"/>
    <w:basedOn w:val="prastasis"/>
    <w:link w:val="PoratDiagrama"/>
    <w:uiPriority w:val="99"/>
    <w:unhideWhenUsed/>
    <w:rsid w:val="00091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91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5</Pages>
  <Words>1618</Words>
  <Characters>8919</Characters>
  <Application>Microsoft Office Word</Application>
  <DocSecurity>0</DocSecurity>
  <Lines>207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Rasa Gurčytė</cp:lastModifiedBy>
  <cp:revision>10</cp:revision>
  <dcterms:created xsi:type="dcterms:W3CDTF">2022-02-13T07:34:00Z</dcterms:created>
  <dcterms:modified xsi:type="dcterms:W3CDTF">2022-02-18T12:11:00Z</dcterms:modified>
</cp:coreProperties>
</file>