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F61E" w14:textId="0782CEEB" w:rsidR="00AB51C4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C506FB" w:rsidRPr="00311B2C">
        <w:rPr>
          <w:rFonts w:ascii="Helvetica" w:eastAsia="Times New Roman" w:hAnsi="Helvetica" w:cs="Arial"/>
          <w:sz w:val="20"/>
          <w:szCs w:val="24"/>
          <w:lang w:eastAsia="lt-LT"/>
        </w:rPr>
        <w:t>šskir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tas antikūnas arba antigeną surišantis</w:t>
      </w:r>
      <w:r w:rsidR="00C506FB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</w:t>
      </w:r>
      <w:r w:rsidR="00C506FB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kuris suriša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žmogaus leptino receptorių (LEPR) ir aktyvuoja LEPR signal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>o perdavim</w:t>
      </w:r>
      <w:r w:rsidR="00656CA8" w:rsidRPr="00311B2C">
        <w:rPr>
          <w:rFonts w:ascii="Helvetica" w:eastAsia="Times New Roman" w:hAnsi="Helvetica" w:cs="Arial"/>
          <w:sz w:val="20"/>
          <w:szCs w:val="24"/>
          <w:lang w:eastAsia="lt-LT"/>
        </w:rPr>
        <w:t>o kelią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>, kai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EC</w:t>
      </w:r>
      <w:r w:rsidRPr="00311B2C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50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 vertė yra mažesnė nei 12,0 nM</w:t>
      </w:r>
      <w:r w:rsidR="001723DB" w:rsidRPr="00311B2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 reporteri</w:t>
      </w:r>
      <w:r w:rsidR="00656CA8" w:rsidRPr="00311B2C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t</w:t>
      </w:r>
      <w:r w:rsidR="001723DB" w:rsidRPr="00311B2C">
        <w:rPr>
          <w:rFonts w:ascii="Helvetica" w:eastAsia="Times New Roman" w:hAnsi="Helvetica" w:cs="Arial"/>
          <w:sz w:val="20"/>
          <w:szCs w:val="24"/>
          <w:lang w:eastAsia="lt-LT"/>
        </w:rPr>
        <w:t>yrime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1723DB" w:rsidRPr="00311B2C">
        <w:rPr>
          <w:rFonts w:ascii="Helvetica" w:eastAsia="Times New Roman" w:hAnsi="Helvetica" w:cs="Arial"/>
          <w:sz w:val="20"/>
          <w:szCs w:val="24"/>
          <w:lang w:eastAsia="lt-LT"/>
        </w:rPr>
        <w:t>uo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nustato</w:t>
      </w:r>
      <w:r w:rsidR="001723DB" w:rsidRPr="00311B2C">
        <w:rPr>
          <w:rFonts w:ascii="Helvetica" w:eastAsia="Times New Roman" w:hAnsi="Helvetica" w:cs="Arial"/>
          <w:sz w:val="20"/>
          <w:szCs w:val="24"/>
          <w:lang w:eastAsia="lt-LT"/>
        </w:rPr>
        <w:t>mas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STAT3 transkripcijos aktyvavim</w:t>
      </w:r>
      <w:r w:rsidR="001723DB" w:rsidRPr="00311B2C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 arba antigeną surišantis 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fragmentas apima:</w:t>
      </w:r>
    </w:p>
    <w:p w14:paraId="07A8A4C2" w14:textId="17DBF1CB" w:rsidR="00AB51C4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i) sunkiosios grandinės kintam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6BC5615E" w14:textId="3A68B7F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</w:t>
      </w:r>
      <w:r w:rsidR="003F7C7A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tokią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</w:t>
      </w:r>
      <w:r w:rsidR="001723DB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4,</w:t>
      </w:r>
    </w:p>
    <w:p w14:paraId="0E354A83" w14:textId="17C26651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</w:t>
      </w:r>
      <w:r w:rsidR="001723DB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6, ir</w:t>
      </w:r>
    </w:p>
    <w:p w14:paraId="2D7844B4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8; ir</w:t>
      </w:r>
    </w:p>
    <w:p w14:paraId="79F0814F" w14:textId="3263D986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lengvosios grandinės kintam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1A9D9E53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2BCF9BEA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569D179B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639F669B" w14:textId="03D8F296" w:rsidR="00AB51C4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ii) sunkiosios grandinės kintam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7530253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20,</w:t>
      </w:r>
    </w:p>
    <w:p w14:paraId="5310B82C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22, ir</w:t>
      </w:r>
    </w:p>
    <w:p w14:paraId="4376604D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24; ir</w:t>
      </w:r>
    </w:p>
    <w:p w14:paraId="2F594E87" w14:textId="44E7A608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bookmarkStart w:id="0" w:name="_Hlk95680984"/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kintam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bookmarkEnd w:id="0"/>
    <w:p w14:paraId="102661BE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2B80818D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7BF6DBA8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0DF75A4C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iii)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194BDC5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28,</w:t>
      </w:r>
    </w:p>
    <w:p w14:paraId="0E50BD64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30, ir</w:t>
      </w:r>
    </w:p>
    <w:p w14:paraId="4A7E5941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32; ir</w:t>
      </w:r>
    </w:p>
    <w:p w14:paraId="6C32E7BB" w14:textId="5705767D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77F0D7F5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6D99C8EA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3FBD9D0A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683E4EFD" w14:textId="2AB64362" w:rsidR="00AB51C4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iv)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39692F41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36,</w:t>
      </w:r>
    </w:p>
    <w:p w14:paraId="1346A74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38, ir</w:t>
      </w:r>
    </w:p>
    <w:p w14:paraId="188D3B3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40; ir</w:t>
      </w:r>
    </w:p>
    <w:p w14:paraId="1C1DCDBB" w14:textId="77777777" w:rsidR="009125CA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4ED00759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1DB6CE0E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090BB812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4FA4C39A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v)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415C368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44,</w:t>
      </w:r>
    </w:p>
    <w:p w14:paraId="09A5D29C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46, ir</w:t>
      </w:r>
    </w:p>
    <w:p w14:paraId="398D692A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48; ir</w:t>
      </w:r>
    </w:p>
    <w:p w14:paraId="34C75874" w14:textId="77777777" w:rsidR="009125CA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331E54A3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2DA1D02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33BB2C7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26B7FD86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vi)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2500EEE1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52,</w:t>
      </w:r>
    </w:p>
    <w:p w14:paraId="2FD90358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54, ir</w:t>
      </w:r>
    </w:p>
    <w:p w14:paraId="336221B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56; ir</w:t>
      </w:r>
    </w:p>
    <w:p w14:paraId="25850DD7" w14:textId="77777777" w:rsidR="009125CA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07FA4E0A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28908224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4ADD74D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5F970209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vii)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2B78A64B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60,</w:t>
      </w:r>
    </w:p>
    <w:p w14:paraId="4E90453D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62, ir</w:t>
      </w:r>
    </w:p>
    <w:p w14:paraId="0FBD25A1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64; ir</w:t>
      </w:r>
    </w:p>
    <w:p w14:paraId="27016EBB" w14:textId="77777777" w:rsidR="009125CA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0D693EDC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199D23D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3C749F23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55FFE0DF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viii)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4EF42DE4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68,</w:t>
      </w:r>
    </w:p>
    <w:p w14:paraId="08916730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70, ir</w:t>
      </w:r>
    </w:p>
    <w:p w14:paraId="4D304A5E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72; ir</w:t>
      </w:r>
    </w:p>
    <w:p w14:paraId="674635C8" w14:textId="77777777" w:rsidR="009125CA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6CFE71B0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785C6C2A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0CAE7196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3B063DF7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ix)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3B9B1E52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76,</w:t>
      </w:r>
    </w:p>
    <w:p w14:paraId="48E6FF96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78, ir</w:t>
      </w:r>
    </w:p>
    <w:p w14:paraId="60E8087D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80; ir</w:t>
      </w:r>
    </w:p>
    <w:p w14:paraId="070E55D2" w14:textId="77777777" w:rsidR="009125CA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03F73894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3E4236B2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0D391599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61FE3445" w14:textId="564F111D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(x)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702822EA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84,</w:t>
      </w:r>
    </w:p>
    <w:p w14:paraId="4ED061C5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86, ir</w:t>
      </w:r>
    </w:p>
    <w:p w14:paraId="2B4398A9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88; ir</w:t>
      </w:r>
    </w:p>
    <w:p w14:paraId="5B4459EB" w14:textId="6E59E24D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683A73F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92,</w:t>
      </w:r>
    </w:p>
    <w:p w14:paraId="2580DF7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94, ir</w:t>
      </w:r>
    </w:p>
    <w:p w14:paraId="5C0AC72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96;</w:t>
      </w:r>
    </w:p>
    <w:p w14:paraId="3678BD93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xi)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6C7C46AD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100,</w:t>
      </w:r>
    </w:p>
    <w:p w14:paraId="76B053C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102, ir</w:t>
      </w:r>
    </w:p>
    <w:p w14:paraId="658B0016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104; ir</w:t>
      </w:r>
    </w:p>
    <w:p w14:paraId="208F4381" w14:textId="2ED6C53D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331D7AD7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92,</w:t>
      </w:r>
    </w:p>
    <w:p w14:paraId="0CFE4ED1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94, ir</w:t>
      </w:r>
    </w:p>
    <w:p w14:paraId="1322710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96; arba</w:t>
      </w:r>
    </w:p>
    <w:p w14:paraId="072BC08A" w14:textId="77777777" w:rsidR="009125CA" w:rsidRPr="00311B2C" w:rsidRDefault="001723D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xii) 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6B9FE625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108,</w:t>
      </w:r>
    </w:p>
    <w:p w14:paraId="704D0735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110, ir</w:t>
      </w:r>
    </w:p>
    <w:p w14:paraId="561A8080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112; ir</w:t>
      </w:r>
    </w:p>
    <w:p w14:paraId="28169990" w14:textId="77777777" w:rsidR="009125CA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65AADBB4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92,</w:t>
      </w:r>
    </w:p>
    <w:p w14:paraId="66BB66B9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94, ir</w:t>
      </w:r>
    </w:p>
    <w:p w14:paraId="3E60BB59" w14:textId="303E06B4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96.</w:t>
      </w:r>
    </w:p>
    <w:p w14:paraId="5693ECC6" w14:textId="77777777" w:rsidR="00311B2C" w:rsidRPr="00311B2C" w:rsidRDefault="00311B2C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D180AEB" w14:textId="36CF7779" w:rsidR="00AB51C4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9125CA" w:rsidRPr="00311B2C">
        <w:rPr>
          <w:rFonts w:ascii="Helvetica" w:hAnsi="Helvetica"/>
          <w:sz w:val="20"/>
        </w:rPr>
        <w:t xml:space="preserve">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jo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1 punktą, kuris apima:</w:t>
      </w:r>
    </w:p>
    <w:p w14:paraId="5E67B801" w14:textId="1C6AD49E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sunkiosios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4C0AE803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36,</w:t>
      </w:r>
    </w:p>
    <w:p w14:paraId="59739946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38, ir</w:t>
      </w:r>
    </w:p>
    <w:p w14:paraId="42CBF8A2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40; ir</w:t>
      </w:r>
    </w:p>
    <w:p w14:paraId="260E2F67" w14:textId="396B4724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9125CA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093D4003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0DCD7268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1DAAC5EB" w14:textId="03EF496A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16.</w:t>
      </w:r>
    </w:p>
    <w:p w14:paraId="0DE0270D" w14:textId="77777777" w:rsidR="00311B2C" w:rsidRPr="00311B2C" w:rsidRDefault="00311B2C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1EE0477" w14:textId="037863E5" w:rsidR="00AB51C4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1 punktą, kuris apima:</w:t>
      </w:r>
    </w:p>
    <w:p w14:paraId="532E4E61" w14:textId="4D0EA93B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sunkiosios grandinės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3281B089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4,</w:t>
      </w:r>
    </w:p>
    <w:p w14:paraId="345E54AF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6, ir</w:t>
      </w:r>
    </w:p>
    <w:p w14:paraId="21E37A0B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8; ir</w:t>
      </w:r>
    </w:p>
    <w:p w14:paraId="2ECDC1E0" w14:textId="72AD0F14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26938BF6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056D3131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4904C997" w14:textId="6B46D265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16;</w:t>
      </w:r>
    </w:p>
    <w:p w14:paraId="17026122" w14:textId="77777777" w:rsidR="00311B2C" w:rsidRPr="00311B2C" w:rsidRDefault="00311B2C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05EB50E" w14:textId="29A5102B" w:rsidR="00AB51C4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rišantis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fragmentas pagal 1 punktą, kuris apima:</w:t>
      </w:r>
    </w:p>
    <w:p w14:paraId="1C54853F" w14:textId="02F4C87C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sunkiosios grandinės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71888D56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HCDR1, kaip nurodyta SEQ ID Nr. 28,</w:t>
      </w:r>
    </w:p>
    <w:p w14:paraId="1EA31913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HCDR2, kaip nurodyta SEQ ID Nr. 30, ir</w:t>
      </w:r>
    </w:p>
    <w:p w14:paraId="7205B90D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HCDR3, kaip nurodyta SEQ ID Nr. 32; ir</w:t>
      </w:r>
    </w:p>
    <w:p w14:paraId="60992F0B" w14:textId="5B85BC2C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lengvosios grandinės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sritį, kuri apima:</w:t>
      </w:r>
    </w:p>
    <w:p w14:paraId="6FAE94A1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LCDR1, kaip nurodyta SEQ ID Nr. 12,</w:t>
      </w:r>
    </w:p>
    <w:p w14:paraId="1788EA50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LCDR2, kaip nurodyta SEQ ID Nr. 14, ir</w:t>
      </w:r>
    </w:p>
    <w:p w14:paraId="7A91C26B" w14:textId="51551351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LCDR3, kaip nurodyta SEQ ID Nr. 16</w:t>
      </w:r>
    </w:p>
    <w:p w14:paraId="47D2EC95" w14:textId="77777777" w:rsidR="00311B2C" w:rsidRPr="00311B2C" w:rsidRDefault="00311B2C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4F4E32" w14:textId="2FBEBDF4" w:rsidR="00AB51C4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5.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šskir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tas antikūnas arba antigeną surišantis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kuris suriš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a žmogaus leptino receptorių (LEPR) ir apima:</w:t>
      </w:r>
    </w:p>
    <w:p w14:paraId="6977B305" w14:textId="6C3C58B4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(i)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10; ir sunkiosios grandinės kintamą sritį, kaip nurodyta SEQ ID Nr. 2;</w:t>
      </w:r>
    </w:p>
    <w:p w14:paraId="301BC55F" w14:textId="2613B89B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(ii)</w:t>
      </w:r>
      <w:r w:rsidR="009C011D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bookmarkStart w:id="1" w:name="_Hlk95681807"/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bookmarkEnd w:id="1"/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10; ir sunkiosios grandinės kintamą sritį, kaip nurodyta SEQ ID Nr. 18;</w:t>
      </w:r>
    </w:p>
    <w:p w14:paraId="346F9F56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(iii) lengvosios grandinės kintamą sritį, kaip nurodyta SEQ ID Nr. 10; ir sunkiosios grandinės kintamą sritį, kaip nurodyta SEQ ID Nr. 26;</w:t>
      </w:r>
    </w:p>
    <w:p w14:paraId="39406735" w14:textId="77777777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(iv) lengvosios grandinės kintamą sritį, kaip nurodyta SEQ ID Nr. 10; ir sunkiosios grandinės kintamą sritį, kaip nurodyta SEQ ID Nr. 34;</w:t>
      </w:r>
    </w:p>
    <w:p w14:paraId="76C4223C" w14:textId="31009386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(v)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10; ir sunkiosios grandinės kintamą sritį, kaip nurodyta SEQ ID Nr. 42;</w:t>
      </w:r>
    </w:p>
    <w:p w14:paraId="5D624AA9" w14:textId="1BD01EE1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(vi)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10; ir sunkiosios grandinės kintamą sritį, kaip nurodyta SEQ ID Nr. 50;</w:t>
      </w:r>
    </w:p>
    <w:p w14:paraId="1ED720C5" w14:textId="4DE0B3B6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(vii)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10; ir sunkiosios grandinės kintamą sritį, kaip nurodyta SEQ ID Nr. 58;</w:t>
      </w:r>
    </w:p>
    <w:p w14:paraId="3E10E435" w14:textId="3B6BB3B8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(viii)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10; ir sunkiosios grandinės kintamą sritį, kaip nurodyta SEQ ID Nr. 66;</w:t>
      </w:r>
    </w:p>
    <w:p w14:paraId="290F9966" w14:textId="73FBAF2C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(ix)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10; ir sunkiosios grandinės kintamą sritį, kaip nurodyta SEQ ID Nr. 74;</w:t>
      </w:r>
    </w:p>
    <w:p w14:paraId="567CB738" w14:textId="1A025EEB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(x)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90; ir sunkiosios grandinės kintamą sritį, kaip nurodyta SEQ ID Nr. 82;</w:t>
      </w:r>
    </w:p>
    <w:p w14:paraId="098DBF08" w14:textId="3E857813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(xi)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90; ir sunkiosios grandinės kintamą sritį, kaip nurodyta SEQ ID Nr. 98; arba</w:t>
      </w:r>
    </w:p>
    <w:p w14:paraId="1DE647A9" w14:textId="01CAE806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(xii) lengvosios grandinės</w:t>
      </w:r>
      <w:r w:rsidR="00DF6D3E" w:rsidRPr="00311B2C">
        <w:rPr>
          <w:rFonts w:ascii="Helvetica" w:hAnsi="Helvetica"/>
          <w:sz w:val="20"/>
        </w:rPr>
        <w:t xml:space="preserve">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kintamą sritį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kaip nurodyta SEQ ID Nr. 90; ir sunkiosios grandinės kintamą sritį, kaip nurodyta SEQ ID Nr. 106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033E420" w14:textId="77777777" w:rsidR="00311B2C" w:rsidRPr="00311B2C" w:rsidRDefault="00311B2C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AE4983" w14:textId="77777777" w:rsidR="00057437" w:rsidRDefault="00AB51C4" w:rsidP="0005743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arba antigeną </w:t>
      </w:r>
      <w:r w:rsidR="009C011D" w:rsidRPr="00311B2C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rišantis</w:t>
      </w:r>
      <w:r w:rsidR="009C011D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 pagal bet kurį iš 1-5 punktų, kuris</w:t>
      </w:r>
      <w:r w:rsidR="009C011D" w:rsidRPr="00311B2C">
        <w:rPr>
          <w:rFonts w:ascii="Helvetica" w:hAnsi="Helvetica"/>
          <w:sz w:val="20"/>
        </w:rPr>
        <w:t xml:space="preserve"> </w:t>
      </w:r>
      <w:r w:rsidR="009C011D" w:rsidRPr="00311B2C">
        <w:rPr>
          <w:rFonts w:ascii="Helvetica" w:eastAsia="Times New Roman" w:hAnsi="Helvetica" w:cs="Arial"/>
          <w:sz w:val="20"/>
          <w:szCs w:val="24"/>
          <w:lang w:eastAsia="lt-LT"/>
        </w:rPr>
        <w:t>yra antikūnas.</w:t>
      </w:r>
    </w:p>
    <w:p w14:paraId="59C0BD7B" w14:textId="77777777" w:rsidR="00057437" w:rsidRDefault="00057437" w:rsidP="0005743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47ACA5F" w14:textId="2B46E4B5" w:rsidR="001C6EFA" w:rsidRPr="00311B2C" w:rsidRDefault="00AB51C4" w:rsidP="0005743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6 punktą, kuris apima sunkiosios grandinės kintamą sritį, kaip nurodyta SEQ ID Nr. 26; ir lengvosios grandinės kintamą sritį, kaip nurodyta SEQ ID </w:t>
      </w:r>
      <w:r w:rsidR="001C6EFA" w:rsidRPr="00311B2C">
        <w:rPr>
          <w:rFonts w:ascii="Helvetica" w:eastAsia="Times New Roman" w:hAnsi="Helvetica" w:cs="Arial"/>
          <w:sz w:val="20"/>
          <w:szCs w:val="24"/>
          <w:lang w:eastAsia="lt-LT"/>
        </w:rPr>
        <w:t>Nr. 10.</w:t>
      </w:r>
    </w:p>
    <w:p w14:paraId="07957F2E" w14:textId="77777777" w:rsidR="00311B2C" w:rsidRPr="00311B2C" w:rsidRDefault="00311B2C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E4A9A2C" w14:textId="0D3CB2E0" w:rsidR="00311B2C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apimanti antikūną arba antigeną 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rišantį</w:t>
      </w:r>
      <w:r w:rsidR="00DF6D3E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jo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fragmentą pagal bet kurį iš 1-7 punktų ir farmaciniu požiūriu priimtiną nešiklį arba skiediklį.</w:t>
      </w:r>
    </w:p>
    <w:p w14:paraId="6CA6E076" w14:textId="77777777" w:rsidR="00311B2C" w:rsidRPr="00311B2C" w:rsidRDefault="00311B2C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06F0E3B" w14:textId="58BF0C2A" w:rsidR="00A97759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8 punktą, skirta naudoti ligos arba būklės, susijusios su arba sukeltos leptino trūkum</w:t>
      </w:r>
      <w:r w:rsidR="001C6EFA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atsparum</w:t>
      </w:r>
      <w:r w:rsidR="001C6EFA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leptinui, </w:t>
      </w:r>
      <w:r w:rsidR="00936A00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gydymo būde,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liga arba būklė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yra parinkta iš grupės, susidedančios iš lipodistrofijos, nutukimo, metabolinio sindromo, funkcinės 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hipotaliaminės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amenorėjos,</w:t>
      </w:r>
      <w:r w:rsidR="008B6A19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1 tipo diabet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2 tipo diabe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to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atsparum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insulinui, sunk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us atsparum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insulinui dėl insulino receptoriaus mutacijos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Alzheimerio lig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leptino trūkum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atsparum</w:t>
      </w:r>
      <w:r w:rsidR="002E5A3A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leptinui, Leprechaunizm</w:t>
      </w:r>
      <w:r w:rsidR="00936A00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/Donohue sindrom</w:t>
      </w:r>
      <w:r w:rsidR="00936A00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ir Rabson-Mendenhall sindrom</w:t>
      </w:r>
      <w:r w:rsidR="00936A00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936A00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šis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36A00" w:rsidRPr="00311B2C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das, apima farmacinės kompozicijos 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skyrimą pacientui, kuriam reikalingas toks gydymas.</w:t>
      </w:r>
    </w:p>
    <w:p w14:paraId="25139D2F" w14:textId="77777777" w:rsidR="00311B2C" w:rsidRPr="00311B2C" w:rsidRDefault="00311B2C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65E963F" w14:textId="7B6B6AFE" w:rsidR="007D5DBB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10.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 pagal 8 punktą, skirta naudoti lipodistrofijos būklės 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paciente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gydymo būdui, kuris apima farmacinės kompozicijos skyrimą pacientui, kuriam reik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alingas toks gydymas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kur lipodistrofijos būklė yra parinkta iš grupės, susidedančios iš įgimtos generalizuotos lipodistrofijos, įgytos generalizuot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lipodistrofij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šeiminė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dalinė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lipodistrofij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įgyt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dalinė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lipodistrofij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išcentrinė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pilvo 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srities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lipodistrofij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lipoatrophia annularis, lokalizuot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lipodistrofij</w:t>
      </w:r>
      <w:r w:rsidR="00A97759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ir su ŽIV</w:t>
      </w:r>
      <w:r w:rsidR="007D5DBB" w:rsidRPr="00311B2C">
        <w:rPr>
          <w:rFonts w:ascii="Helvetica" w:hAnsi="Helvetica"/>
          <w:sz w:val="20"/>
        </w:rPr>
        <w:t xml:space="preserve"> 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susijusios lipodistrofijos.</w:t>
      </w:r>
    </w:p>
    <w:p w14:paraId="62C33C45" w14:textId="77777777" w:rsidR="007D5DBB" w:rsidRPr="00311B2C" w:rsidRDefault="007D5DBB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310E75E" w14:textId="04BCDDAC" w:rsidR="00AB51C4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Farmacinė kompozicija pagal 8 punktą, skirta naudoti ligos arba būklės, susijusios su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arba sukeltos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2" w:name="_Hlk95743567"/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signal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o perdavimo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defekt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ar signal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o perdavimą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dančios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2"/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LEPR mutacij</w:t>
      </w:r>
      <w:r w:rsidR="007D5DBB"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gydymo būd</w:t>
      </w:r>
      <w:r w:rsidR="00DF0932" w:rsidRPr="00311B2C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DF0932" w:rsidRPr="00311B2C">
        <w:rPr>
          <w:rFonts w:ascii="Helvetica" w:eastAsia="Times New Roman" w:hAnsi="Helvetica" w:cs="Arial"/>
          <w:sz w:val="20"/>
          <w:szCs w:val="24"/>
          <w:lang w:eastAsia="lt-LT"/>
        </w:rPr>
        <w:t>šis bū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das apima farmacinės kompozicijos skyrimą subjektui, kuriam </w:t>
      </w:r>
      <w:r w:rsidR="00DF0932" w:rsidRPr="00311B2C">
        <w:rPr>
          <w:rFonts w:ascii="Helvetica" w:eastAsia="Times New Roman" w:hAnsi="Helvetica" w:cs="Arial"/>
          <w:sz w:val="20"/>
          <w:szCs w:val="24"/>
          <w:lang w:eastAsia="lt-LT"/>
        </w:rPr>
        <w:t>reikalingas toks gydymas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kur:</w:t>
      </w:r>
    </w:p>
    <w:p w14:paraId="3A88B573" w14:textId="31100B68" w:rsidR="00AB51C4" w:rsidRPr="00311B2C" w:rsidRDefault="00DF0932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a)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signalo perdavimo defekto ar signalo perdavimą sutrikdanti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LEPR mutacija yra LEPR-A409E arba LEPR-P316T; ir</w:t>
      </w:r>
    </w:p>
    <w:p w14:paraId="29A5CE61" w14:textId="7C81CEAA" w:rsidR="00AB51C4" w:rsidRPr="00311B2C" w:rsidRDefault="00DF0932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b) liga arba būklė, susijusi su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arba sukelta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signal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o perdavimo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defekt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ar</w:t>
      </w:r>
      <w:r w:rsidRPr="00311B2C">
        <w:rPr>
          <w:rFonts w:ascii="Helvetica" w:hAnsi="Helvetica"/>
          <w:sz w:val="20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signalo perdavimą sutrikdančios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LEPR mutacij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>, yra ankst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i prasidedantis</w:t>
      </w:r>
      <w:r w:rsidR="00AB51C4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nutukimas.</w:t>
      </w:r>
    </w:p>
    <w:p w14:paraId="1AE2519C" w14:textId="77777777" w:rsidR="00311B2C" w:rsidRPr="00311B2C" w:rsidRDefault="00311B2C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B57F626" w14:textId="77619F44" w:rsidR="00FD0C03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Farmacinė kompozicija, skirta naudoti būdu</w:t>
      </w:r>
      <w:r w:rsidR="00DF0932" w:rsidRPr="00311B2C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bet kurį iš 9-11 punktų, kur būdas papildomai apima antrojo terapinio agento skyrimą subjektui, kur antrasis terapinis agentas yra parinktas iš grupės, susidedančios iš rekombinantinio žmogaus leptino, PCSK9 inhibitoriaus, statin</w:t>
      </w:r>
      <w:r w:rsidR="00DF0932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ezetimib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insulin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insulino variant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insulino sekreciją skatinan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preparat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metformin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sulfonilkarbamid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natrio gliukozės kotransporteri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2 inhibitori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us, GLP-1 agonist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/analog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gliukagono inhibitori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us, gliukagono receptori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inhibitori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us, į angiopoetiną panaš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us baltym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o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inhibitori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us, fentermin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orlistat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topiramat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bupropion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topiramat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/fentermin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bupropion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/ naltrekson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bupropion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/zonisamid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pramlintid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/metrelepin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lorkaserin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 cetilistat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D0C03" w:rsidRPr="00311B2C">
        <w:rPr>
          <w:rFonts w:ascii="Helvetica" w:hAnsi="Helvetica"/>
          <w:sz w:val="20"/>
        </w:rPr>
        <w:t xml:space="preserve"> 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tesofenzino ir velneperito.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p w14:paraId="7727EC7C" w14:textId="77777777" w:rsidR="00311B2C" w:rsidRPr="00311B2C" w:rsidRDefault="00311B2C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890A19" w14:textId="6FBA9CF7" w:rsidR="00FD0C03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Išskirtas polinukleotidas, k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uris k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oduoja antikūno arba antigeną 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rišančio fragmento pagal bet kurį iš 1-7 punktų sunkiosios grandinės kintamą sritį ir</w:t>
      </w:r>
      <w:r w:rsidR="00FD0C03" w:rsidRPr="00311B2C">
        <w:rPr>
          <w:rFonts w:ascii="Helvetica" w:hAnsi="Helvetica"/>
          <w:sz w:val="20"/>
        </w:rPr>
        <w:t xml:space="preserve"> 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lengvosios grandinės kintamą sritį.</w:t>
      </w:r>
    </w:p>
    <w:p w14:paraId="55F662D0" w14:textId="40A25E30" w:rsidR="00AB51C4" w:rsidRPr="00311B2C" w:rsidRDefault="00AB51C4" w:rsidP="00311B2C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4EC8A03" w14:textId="47EEFEA4" w:rsidR="00FD0C03" w:rsidRPr="00311B2C" w:rsidRDefault="00AB51C4" w:rsidP="00311B2C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311B2C"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Rekombinantinis 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311B2C">
        <w:rPr>
          <w:rFonts w:ascii="Helvetica" w:eastAsia="Times New Roman" w:hAnsi="Helvetica" w:cs="Arial"/>
          <w:sz w:val="20"/>
          <w:szCs w:val="24"/>
          <w:lang w:eastAsia="lt-LT"/>
        </w:rPr>
        <w:t xml:space="preserve">os vektorius, apimantis polinukleotidą pagal 13 punktą, arba </w:t>
      </w:r>
      <w:r w:rsidR="00FD0C03" w:rsidRPr="00311B2C">
        <w:rPr>
          <w:rFonts w:ascii="Helvetica" w:eastAsia="Times New Roman" w:hAnsi="Helvetica" w:cs="Arial"/>
          <w:sz w:val="20"/>
          <w:szCs w:val="24"/>
          <w:lang w:eastAsia="lt-LT"/>
        </w:rPr>
        <w:t>ląstelė-šeimininkė, apimanti vektorių.</w:t>
      </w:r>
    </w:p>
    <w:sectPr w:rsidR="00FD0C03" w:rsidRPr="00311B2C" w:rsidSect="00311B2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26FA" w14:textId="77777777" w:rsidR="0043283C" w:rsidRDefault="0043283C" w:rsidP="00091CF5">
      <w:pPr>
        <w:spacing w:after="0" w:line="240" w:lineRule="auto"/>
      </w:pPr>
      <w:r>
        <w:separator/>
      </w:r>
    </w:p>
  </w:endnote>
  <w:endnote w:type="continuationSeparator" w:id="0">
    <w:p w14:paraId="1951FC96" w14:textId="77777777" w:rsidR="0043283C" w:rsidRDefault="0043283C" w:rsidP="0009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B868" w14:textId="77777777" w:rsidR="0043283C" w:rsidRDefault="0043283C" w:rsidP="00091CF5">
      <w:pPr>
        <w:spacing w:after="0" w:line="240" w:lineRule="auto"/>
      </w:pPr>
      <w:r>
        <w:separator/>
      </w:r>
    </w:p>
  </w:footnote>
  <w:footnote w:type="continuationSeparator" w:id="0">
    <w:p w14:paraId="3D443DAF" w14:textId="77777777" w:rsidR="0043283C" w:rsidRDefault="0043283C" w:rsidP="00091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C4"/>
    <w:rsid w:val="00026740"/>
    <w:rsid w:val="00050042"/>
    <w:rsid w:val="000550EF"/>
    <w:rsid w:val="00057437"/>
    <w:rsid w:val="00073426"/>
    <w:rsid w:val="00091CF5"/>
    <w:rsid w:val="001634D5"/>
    <w:rsid w:val="001723DB"/>
    <w:rsid w:val="001C6EFA"/>
    <w:rsid w:val="002E5A3A"/>
    <w:rsid w:val="00311B2C"/>
    <w:rsid w:val="003F7C7A"/>
    <w:rsid w:val="0043283C"/>
    <w:rsid w:val="004504C9"/>
    <w:rsid w:val="00656CA8"/>
    <w:rsid w:val="007D5DBB"/>
    <w:rsid w:val="008B6A19"/>
    <w:rsid w:val="009125CA"/>
    <w:rsid w:val="00936A00"/>
    <w:rsid w:val="00946325"/>
    <w:rsid w:val="009C011D"/>
    <w:rsid w:val="00A97759"/>
    <w:rsid w:val="00AB51C4"/>
    <w:rsid w:val="00B8720A"/>
    <w:rsid w:val="00BE3376"/>
    <w:rsid w:val="00C506FB"/>
    <w:rsid w:val="00C85457"/>
    <w:rsid w:val="00D5779F"/>
    <w:rsid w:val="00DF0932"/>
    <w:rsid w:val="00DF6D3E"/>
    <w:rsid w:val="00E066FB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6DC92"/>
  <w15:chartTrackingRefBased/>
  <w15:docId w15:val="{72755001-4855-423F-BC90-964A2A5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5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91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1CF5"/>
  </w:style>
  <w:style w:type="paragraph" w:styleId="Porat">
    <w:name w:val="footer"/>
    <w:basedOn w:val="prastasis"/>
    <w:link w:val="PoratDiagrama"/>
    <w:uiPriority w:val="99"/>
    <w:unhideWhenUsed/>
    <w:rsid w:val="00091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1618</Words>
  <Characters>8919</Characters>
  <Application>Microsoft Office Word</Application>
  <DocSecurity>0</DocSecurity>
  <Lines>207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10</cp:revision>
  <dcterms:created xsi:type="dcterms:W3CDTF">2022-02-13T07:34:00Z</dcterms:created>
  <dcterms:modified xsi:type="dcterms:W3CDTF">2022-02-18T12:11:00Z</dcterms:modified>
</cp:coreProperties>
</file>